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D2ED" w14:textId="7816FB9F" w:rsidR="009649DA" w:rsidRPr="00D42936" w:rsidRDefault="00920B48" w:rsidP="009649DA">
      <w:pPr>
        <w:spacing w:after="0" w:line="240" w:lineRule="auto"/>
        <w:jc w:val="center"/>
        <w:rPr>
          <w:rFonts w:cstheme="minorHAnsi"/>
          <w:color w:val="FF0000"/>
          <w:sz w:val="40"/>
          <w:szCs w:val="40"/>
        </w:rPr>
      </w:pPr>
      <w:r>
        <w:rPr>
          <w:rFonts w:cstheme="minorHAnsi"/>
          <w:color w:val="FF0000"/>
          <w:sz w:val="40"/>
          <w:szCs w:val="40"/>
        </w:rPr>
        <w:t xml:space="preserve">INSERT </w:t>
      </w:r>
      <w:r w:rsidR="00D15072" w:rsidRPr="00D42936">
        <w:rPr>
          <w:rFonts w:cstheme="minorHAnsi"/>
          <w:color w:val="FF0000"/>
          <w:sz w:val="40"/>
          <w:szCs w:val="40"/>
        </w:rPr>
        <w:t>DIVISION NAME</w:t>
      </w:r>
      <w:r w:rsidR="00970314" w:rsidRPr="00D42936">
        <w:rPr>
          <w:rFonts w:cstheme="minorHAnsi"/>
          <w:color w:val="FF0000"/>
          <w:sz w:val="40"/>
          <w:szCs w:val="40"/>
        </w:rPr>
        <w:t>/LOGO</w:t>
      </w:r>
    </w:p>
    <w:p w14:paraId="7BA4BF77" w14:textId="0C652206" w:rsidR="005905E3" w:rsidRDefault="00BF5EC5" w:rsidP="00920B4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Merchant </w:t>
      </w:r>
      <w:r w:rsidR="009649DA" w:rsidRPr="009649DA">
        <w:rPr>
          <w:rFonts w:cstheme="minorHAnsi"/>
          <w:sz w:val="24"/>
          <w:szCs w:val="24"/>
        </w:rPr>
        <w:t xml:space="preserve">Payment </w:t>
      </w:r>
      <w:r>
        <w:rPr>
          <w:rFonts w:cstheme="minorHAnsi"/>
          <w:sz w:val="24"/>
          <w:szCs w:val="24"/>
        </w:rPr>
        <w:t xml:space="preserve">Systems </w:t>
      </w:r>
      <w:r w:rsidR="00567719">
        <w:rPr>
          <w:rFonts w:cstheme="minorHAnsi"/>
          <w:sz w:val="24"/>
          <w:szCs w:val="24"/>
        </w:rPr>
        <w:t>Data Security</w:t>
      </w:r>
    </w:p>
    <w:p w14:paraId="2BCFBF64" w14:textId="207B393D" w:rsidR="009649DA" w:rsidRPr="009649DA" w:rsidRDefault="00792E60" w:rsidP="00D3041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Policy and </w:t>
      </w:r>
      <w:r w:rsidR="009649DA" w:rsidRPr="009649DA">
        <w:rPr>
          <w:rFonts w:cstheme="minorHAnsi"/>
          <w:sz w:val="24"/>
          <w:szCs w:val="24"/>
        </w:rPr>
        <w:t>Procedure</w:t>
      </w:r>
      <w:r w:rsidR="005905E3">
        <w:rPr>
          <w:rFonts w:cstheme="minorHAnsi"/>
          <w:sz w:val="24"/>
          <w:szCs w:val="24"/>
        </w:rPr>
        <w:t xml:space="preserve"> Template</w:t>
      </w:r>
    </w:p>
    <w:p w14:paraId="5BEE2B61" w14:textId="77777777" w:rsidR="001E64DB" w:rsidRPr="009649DA" w:rsidRDefault="001E64DB" w:rsidP="0075507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031016" w14:textId="71155D12" w:rsidR="0075507C" w:rsidRDefault="0075507C" w:rsidP="0075507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color w:val="auto"/>
          <w:sz w:val="22"/>
          <w:szCs w:val="22"/>
        </w:rPr>
        <w:t>Department Name:</w:t>
      </w:r>
      <w:r w:rsidR="008C7287" w:rsidRPr="00964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</w:p>
    <w:p w14:paraId="13E50122" w14:textId="6F936B86" w:rsidR="00567719" w:rsidRPr="007A3CCA" w:rsidRDefault="00567719" w:rsidP="0075507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A3CCA">
        <w:rPr>
          <w:rFonts w:asciiTheme="minorHAnsi" w:hAnsiTheme="minorHAnsi" w:cstheme="minorHAnsi"/>
          <w:b/>
          <w:color w:val="auto"/>
          <w:sz w:val="22"/>
          <w:szCs w:val="22"/>
        </w:rPr>
        <w:t>Division Name:</w:t>
      </w:r>
    </w:p>
    <w:p w14:paraId="1F8D12C1" w14:textId="4EB60F01" w:rsidR="001E64DB" w:rsidRPr="009649DA" w:rsidRDefault="00ED3717" w:rsidP="0075507C">
      <w:pPr>
        <w:pStyle w:val="Defaul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649D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Business </w:t>
      </w:r>
      <w:r w:rsidR="00352030" w:rsidRPr="009649D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Process Owner/Title:</w:t>
      </w:r>
    </w:p>
    <w:p w14:paraId="02154C23" w14:textId="396A7154" w:rsidR="0075507C" w:rsidRPr="009649DA" w:rsidRDefault="0075507C" w:rsidP="0075507C">
      <w:pPr>
        <w:pStyle w:val="Defaul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64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Last </w:t>
      </w:r>
      <w:r w:rsidR="002A232B" w:rsidRPr="009649DA">
        <w:rPr>
          <w:rFonts w:asciiTheme="minorHAnsi" w:hAnsiTheme="minorHAnsi" w:cstheme="minorHAnsi"/>
          <w:b/>
          <w:color w:val="auto"/>
          <w:sz w:val="22"/>
          <w:szCs w:val="22"/>
        </w:rPr>
        <w:t>Reviewed</w:t>
      </w:r>
      <w:r w:rsidRPr="009649DA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06167BE9" w14:textId="77777777" w:rsidR="00352030" w:rsidRPr="009649DA" w:rsidRDefault="00352030" w:rsidP="0075507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9C5F08" w14:textId="77777777" w:rsidR="00352030" w:rsidRPr="009649DA" w:rsidRDefault="00EB1B29" w:rsidP="00352030">
      <w:pPr>
        <w:pBdr>
          <w:bottom w:val="single" w:sz="4" w:space="2" w:color="948A54"/>
        </w:pBdr>
        <w:spacing w:after="0" w:line="240" w:lineRule="auto"/>
        <w:rPr>
          <w:rFonts w:eastAsia="Times New Roman" w:cstheme="minorHAnsi"/>
        </w:rPr>
      </w:pPr>
      <w:r w:rsidRPr="009649DA">
        <w:rPr>
          <w:rFonts w:eastAsia="Times New Roman" w:cstheme="minorHAnsi"/>
          <w:b/>
          <w:bCs/>
          <w:color w:val="000000"/>
        </w:rPr>
        <w:t>Purpose</w:t>
      </w:r>
    </w:p>
    <w:p w14:paraId="34F68805" w14:textId="77777777" w:rsidR="00B519E8" w:rsidRPr="009649DA" w:rsidRDefault="00B519E8" w:rsidP="00352030">
      <w:pPr>
        <w:pStyle w:val="Default"/>
        <w:rPr>
          <w:rFonts w:asciiTheme="minorHAnsi" w:hAnsiTheme="minorHAnsi" w:cstheme="minorHAnsi"/>
          <w:sz w:val="22"/>
          <w:szCs w:val="22"/>
          <w:lang w:val="en"/>
        </w:rPr>
      </w:pPr>
    </w:p>
    <w:p w14:paraId="70CCF567" w14:textId="07D81A86" w:rsidR="00352030" w:rsidRPr="009649DA" w:rsidRDefault="00352030" w:rsidP="0035203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sz w:val="22"/>
          <w:szCs w:val="22"/>
          <w:lang w:val="en"/>
        </w:rPr>
        <w:t xml:space="preserve">The purpose of this policy is to establish business processes and </w:t>
      </w:r>
      <w:r w:rsidRPr="009649DA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procedures for accepting and handling payment card</w:t>
      </w:r>
      <w:r w:rsidR="00E33647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, bank account and routing number information</w:t>
      </w:r>
      <w:r w:rsidRPr="009649DA">
        <w:rPr>
          <w:rFonts w:asciiTheme="minorHAnsi" w:hAnsiTheme="minorHAnsi" w:cstheme="minorHAnsi"/>
          <w:sz w:val="22"/>
          <w:szCs w:val="22"/>
          <w:lang w:val="en"/>
        </w:rPr>
        <w:t xml:space="preserve"> at </w:t>
      </w:r>
      <w:r w:rsidR="0009248B" w:rsidRPr="00B2719B">
        <w:rPr>
          <w:rFonts w:asciiTheme="minorHAnsi" w:hAnsiTheme="minorHAnsi" w:cstheme="minorHAnsi"/>
          <w:b/>
          <w:bCs/>
          <w:color w:val="FF0000"/>
          <w:sz w:val="22"/>
          <w:szCs w:val="22"/>
          <w:lang w:val="en"/>
        </w:rPr>
        <w:t xml:space="preserve">INSERT </w:t>
      </w:r>
      <w:r w:rsidR="00567719">
        <w:rPr>
          <w:rFonts w:asciiTheme="minorHAnsi" w:hAnsiTheme="minorHAnsi" w:cstheme="minorHAnsi"/>
          <w:b/>
          <w:color w:val="FF0000"/>
          <w:sz w:val="22"/>
          <w:szCs w:val="22"/>
          <w:lang w:val="en"/>
        </w:rPr>
        <w:t>DIVISION NAME</w:t>
      </w:r>
      <w:r w:rsidR="00567719" w:rsidRPr="009649DA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9649DA">
        <w:rPr>
          <w:rFonts w:asciiTheme="minorHAnsi" w:hAnsiTheme="minorHAnsi" w:cstheme="minorHAnsi"/>
          <w:sz w:val="22"/>
          <w:szCs w:val="22"/>
          <w:lang w:val="en"/>
        </w:rPr>
        <w:t xml:space="preserve">as established by the </w:t>
      </w:r>
      <w:r w:rsidRPr="009649DA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Payment Card</w:t>
      </w:r>
      <w:r w:rsidRPr="009649DA">
        <w:rPr>
          <w:rFonts w:asciiTheme="minorHAnsi" w:hAnsiTheme="minorHAnsi" w:cstheme="minorHAnsi"/>
          <w:sz w:val="22"/>
          <w:szCs w:val="22"/>
          <w:lang w:val="en"/>
        </w:rPr>
        <w:t xml:space="preserve"> Industry Data Security Standards (PCI DSS)</w:t>
      </w:r>
      <w:r w:rsidR="00E33647">
        <w:rPr>
          <w:rStyle w:val="FootnoteReference"/>
          <w:rFonts w:asciiTheme="minorHAnsi" w:hAnsiTheme="minorHAnsi" w:cstheme="minorHAnsi"/>
          <w:sz w:val="22"/>
          <w:szCs w:val="22"/>
          <w:lang w:val="en"/>
        </w:rPr>
        <w:footnoteReference w:id="1"/>
      </w:r>
      <w:r w:rsidR="00E33647">
        <w:rPr>
          <w:rFonts w:asciiTheme="minorHAnsi" w:hAnsiTheme="minorHAnsi" w:cstheme="minorHAnsi"/>
          <w:sz w:val="22"/>
          <w:szCs w:val="22"/>
          <w:lang w:val="en"/>
        </w:rPr>
        <w:t>, National Automated Clearing House Association</w:t>
      </w:r>
      <w:r w:rsidR="00792E60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E33647">
        <w:rPr>
          <w:rFonts w:asciiTheme="minorHAnsi" w:hAnsiTheme="minorHAnsi" w:cstheme="minorHAnsi"/>
          <w:sz w:val="22"/>
          <w:szCs w:val="22"/>
          <w:lang w:val="en"/>
        </w:rPr>
        <w:t>(NACHA)</w:t>
      </w:r>
      <w:r w:rsidR="00E33647">
        <w:rPr>
          <w:rStyle w:val="FootnoteReference"/>
          <w:rFonts w:asciiTheme="minorHAnsi" w:hAnsiTheme="minorHAnsi" w:cstheme="minorHAnsi"/>
          <w:sz w:val="22"/>
          <w:szCs w:val="22"/>
          <w:lang w:val="en"/>
        </w:rPr>
        <w:footnoteReference w:id="2"/>
      </w:r>
      <w:r w:rsidR="00E3364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9649DA">
        <w:rPr>
          <w:rFonts w:asciiTheme="minorHAnsi" w:hAnsiTheme="minorHAnsi" w:cstheme="minorHAnsi"/>
          <w:sz w:val="22"/>
          <w:szCs w:val="22"/>
          <w:lang w:val="en"/>
        </w:rPr>
        <w:t xml:space="preserve"> and </w:t>
      </w:r>
      <w:r w:rsidRPr="009649DA">
        <w:rPr>
          <w:rFonts w:asciiTheme="minorHAnsi" w:hAnsiTheme="minorHAnsi" w:cstheme="minorHAnsi"/>
          <w:sz w:val="22"/>
          <w:szCs w:val="22"/>
        </w:rPr>
        <w:t xml:space="preserve">in accordance with the </w:t>
      </w:r>
      <w:r w:rsidR="00792E60">
        <w:rPr>
          <w:rFonts w:asciiTheme="minorHAnsi" w:hAnsiTheme="minorHAnsi" w:cstheme="minorHAnsi"/>
          <w:sz w:val="22"/>
          <w:szCs w:val="22"/>
        </w:rPr>
        <w:t>policies promulgated by the Department of Technology and Information (DTI)</w:t>
      </w:r>
      <w:r w:rsidRPr="009649DA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Pr="009649DA">
        <w:rPr>
          <w:rFonts w:asciiTheme="minorHAnsi" w:hAnsiTheme="minorHAnsi" w:cstheme="minorHAnsi"/>
          <w:sz w:val="22"/>
          <w:szCs w:val="22"/>
        </w:rPr>
        <w:t>In order to maintain compliance with PCI DSS</w:t>
      </w:r>
      <w:r w:rsidR="00E33647">
        <w:rPr>
          <w:rFonts w:asciiTheme="minorHAnsi" w:hAnsiTheme="minorHAnsi" w:cstheme="minorHAnsi"/>
          <w:sz w:val="22"/>
          <w:szCs w:val="22"/>
        </w:rPr>
        <w:t xml:space="preserve"> and NACHA</w:t>
      </w:r>
      <w:r w:rsidRPr="009649DA">
        <w:rPr>
          <w:rFonts w:asciiTheme="minorHAnsi" w:hAnsiTheme="minorHAnsi" w:cstheme="minorHAnsi"/>
          <w:sz w:val="22"/>
          <w:szCs w:val="22"/>
        </w:rPr>
        <w:t xml:space="preserve">, it is essential that </w:t>
      </w:r>
      <w:r w:rsidR="00792E60">
        <w:rPr>
          <w:rFonts w:asciiTheme="minorHAnsi" w:hAnsiTheme="minorHAnsi" w:cstheme="minorHAnsi"/>
          <w:sz w:val="22"/>
          <w:szCs w:val="22"/>
        </w:rPr>
        <w:t xml:space="preserve">agencies </w:t>
      </w:r>
      <w:r w:rsidRPr="009649DA">
        <w:rPr>
          <w:rFonts w:asciiTheme="minorHAnsi" w:hAnsiTheme="minorHAnsi" w:cstheme="minorHAnsi"/>
          <w:sz w:val="22"/>
          <w:szCs w:val="22"/>
        </w:rPr>
        <w:t>that store, process</w:t>
      </w:r>
      <w:r w:rsidR="001E64DB" w:rsidRPr="009649DA">
        <w:rPr>
          <w:rFonts w:asciiTheme="minorHAnsi" w:hAnsiTheme="minorHAnsi" w:cstheme="minorHAnsi"/>
          <w:sz w:val="22"/>
          <w:szCs w:val="22"/>
        </w:rPr>
        <w:t>,</w:t>
      </w:r>
      <w:r w:rsidRPr="009649DA">
        <w:rPr>
          <w:rFonts w:asciiTheme="minorHAnsi" w:hAnsiTheme="minorHAnsi" w:cstheme="minorHAnsi"/>
          <w:sz w:val="22"/>
          <w:szCs w:val="22"/>
        </w:rPr>
        <w:t xml:space="preserve"> or transmit</w:t>
      </w:r>
      <w:r w:rsidR="001E64DB" w:rsidRPr="009649DA">
        <w:rPr>
          <w:rFonts w:asciiTheme="minorHAnsi" w:hAnsiTheme="minorHAnsi" w:cstheme="minorHAnsi"/>
          <w:sz w:val="22"/>
          <w:szCs w:val="22"/>
        </w:rPr>
        <w:t xml:space="preserve"> cardholder data</w:t>
      </w:r>
      <w:r w:rsidR="00567719">
        <w:rPr>
          <w:rFonts w:asciiTheme="minorHAnsi" w:hAnsiTheme="minorHAnsi" w:cstheme="minorHAnsi"/>
          <w:sz w:val="22"/>
          <w:szCs w:val="22"/>
        </w:rPr>
        <w:t xml:space="preserve"> (CHD)</w:t>
      </w:r>
      <w:r w:rsidR="00E33647">
        <w:rPr>
          <w:rFonts w:asciiTheme="minorHAnsi" w:hAnsiTheme="minorHAnsi" w:cstheme="minorHAnsi"/>
          <w:sz w:val="22"/>
          <w:szCs w:val="22"/>
        </w:rPr>
        <w:t>, bank account and routing number information</w:t>
      </w:r>
      <w:r w:rsidR="00094E65" w:rsidRPr="009649DA">
        <w:rPr>
          <w:rFonts w:asciiTheme="minorHAnsi" w:hAnsiTheme="minorHAnsi" w:cstheme="minorHAnsi"/>
          <w:sz w:val="22"/>
          <w:szCs w:val="22"/>
        </w:rPr>
        <w:t xml:space="preserve"> adhere to </w:t>
      </w:r>
      <w:r w:rsidRPr="009649DA">
        <w:rPr>
          <w:rFonts w:asciiTheme="minorHAnsi" w:hAnsiTheme="minorHAnsi" w:cstheme="minorHAnsi"/>
          <w:sz w:val="22"/>
          <w:szCs w:val="22"/>
        </w:rPr>
        <w:t xml:space="preserve">procedures </w:t>
      </w:r>
      <w:r w:rsidR="00567719">
        <w:rPr>
          <w:rFonts w:asciiTheme="minorHAnsi" w:hAnsiTheme="minorHAnsi" w:cstheme="minorHAnsi"/>
          <w:sz w:val="22"/>
          <w:szCs w:val="22"/>
        </w:rPr>
        <w:t>aligned with statewide and industry</w:t>
      </w:r>
      <w:r w:rsidR="00094E65" w:rsidRPr="009649DA">
        <w:rPr>
          <w:rFonts w:asciiTheme="minorHAnsi" w:hAnsiTheme="minorHAnsi" w:cstheme="minorHAnsi"/>
          <w:sz w:val="22"/>
          <w:szCs w:val="22"/>
        </w:rPr>
        <w:t xml:space="preserve"> </w:t>
      </w:r>
      <w:r w:rsidR="00792E60">
        <w:rPr>
          <w:rFonts w:asciiTheme="minorHAnsi" w:hAnsiTheme="minorHAnsi" w:cstheme="minorHAnsi"/>
          <w:sz w:val="22"/>
          <w:szCs w:val="22"/>
        </w:rPr>
        <w:t>standards</w:t>
      </w:r>
      <w:r w:rsidR="00792E60" w:rsidRPr="009649DA">
        <w:rPr>
          <w:rFonts w:asciiTheme="minorHAnsi" w:hAnsiTheme="minorHAnsi" w:cstheme="minorHAnsi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sz w:val="22"/>
          <w:szCs w:val="22"/>
        </w:rPr>
        <w:t xml:space="preserve">to help ensure the safe handling of </w:t>
      </w:r>
      <w:r w:rsidR="00E33647">
        <w:rPr>
          <w:rFonts w:asciiTheme="minorHAnsi" w:hAnsiTheme="minorHAnsi" w:cstheme="minorHAnsi"/>
          <w:sz w:val="22"/>
          <w:szCs w:val="22"/>
        </w:rPr>
        <w:t>payment</w:t>
      </w:r>
      <w:r w:rsidR="00E33647" w:rsidRPr="009649DA">
        <w:rPr>
          <w:rFonts w:asciiTheme="minorHAnsi" w:hAnsiTheme="minorHAnsi" w:cstheme="minorHAnsi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sz w:val="22"/>
          <w:szCs w:val="22"/>
        </w:rPr>
        <w:t>data.</w:t>
      </w:r>
    </w:p>
    <w:p w14:paraId="01EF60DA" w14:textId="77777777" w:rsidR="00352030" w:rsidRPr="009649DA" w:rsidRDefault="00352030" w:rsidP="0035203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6340C5" w14:textId="21566ABE" w:rsidR="00352030" w:rsidRPr="009649DA" w:rsidRDefault="00352030" w:rsidP="00F5495D">
      <w:pPr>
        <w:spacing w:after="0" w:line="240" w:lineRule="auto"/>
        <w:rPr>
          <w:rFonts w:eastAsia="Times New Roman" w:cstheme="minorHAnsi"/>
          <w:color w:val="000000"/>
        </w:rPr>
      </w:pPr>
      <w:r w:rsidRPr="009649DA">
        <w:rPr>
          <w:rFonts w:eastAsia="Times New Roman" w:cstheme="minorHAnsi"/>
          <w:color w:val="000000"/>
        </w:rPr>
        <w:t xml:space="preserve">Collection and processing of </w:t>
      </w:r>
      <w:r w:rsidR="00E33647">
        <w:rPr>
          <w:rFonts w:eastAsia="Times New Roman" w:cstheme="minorHAnsi"/>
          <w:color w:val="000000"/>
        </w:rPr>
        <w:t xml:space="preserve">automated clearing house (ACH), debit and credit </w:t>
      </w:r>
      <w:r w:rsidRPr="009649DA">
        <w:rPr>
          <w:rFonts w:eastAsia="Times New Roman" w:cstheme="minorHAnsi"/>
          <w:color w:val="000000"/>
        </w:rPr>
        <w:t xml:space="preserve">card payments, will be conducted in compliance with standards established by the </w:t>
      </w:r>
      <w:r w:rsidR="001E64DB" w:rsidRPr="009649DA">
        <w:rPr>
          <w:rStyle w:val="Strong"/>
          <w:rFonts w:cstheme="minorHAnsi"/>
          <w:b w:val="0"/>
          <w:lang w:val="en"/>
        </w:rPr>
        <w:t>Payment Card</w:t>
      </w:r>
      <w:r w:rsidR="001E64DB" w:rsidRPr="009649DA">
        <w:rPr>
          <w:rFonts w:cstheme="minorHAnsi"/>
          <w:lang w:val="en"/>
        </w:rPr>
        <w:t xml:space="preserve"> Industry </w:t>
      </w:r>
      <w:r w:rsidR="001E64DB" w:rsidRPr="009649DA">
        <w:rPr>
          <w:rFonts w:eastAsia="Times New Roman" w:cstheme="minorHAnsi"/>
          <w:color w:val="000000"/>
        </w:rPr>
        <w:t>Security Standards</w:t>
      </w:r>
      <w:r w:rsidRPr="009649DA">
        <w:rPr>
          <w:rFonts w:eastAsia="Times New Roman" w:cstheme="minorHAnsi"/>
          <w:color w:val="000000"/>
        </w:rPr>
        <w:t xml:space="preserve"> Council</w:t>
      </w:r>
      <w:r w:rsidR="001E64DB" w:rsidRPr="009649DA">
        <w:rPr>
          <w:rFonts w:eastAsia="Times New Roman" w:cstheme="minorHAnsi"/>
          <w:color w:val="000000"/>
        </w:rPr>
        <w:t xml:space="preserve"> (PCI SSC)</w:t>
      </w:r>
      <w:r w:rsidRPr="009649DA">
        <w:rPr>
          <w:rFonts w:eastAsia="Times New Roman" w:cstheme="minorHAnsi"/>
          <w:color w:val="000000"/>
        </w:rPr>
        <w:t>,</w:t>
      </w:r>
      <w:r w:rsidR="00E33647">
        <w:rPr>
          <w:rFonts w:eastAsia="Times New Roman" w:cstheme="minorHAnsi"/>
          <w:color w:val="000000"/>
        </w:rPr>
        <w:t xml:space="preserve"> NACHA, </w:t>
      </w:r>
      <w:r w:rsidR="00567719">
        <w:rPr>
          <w:rFonts w:eastAsia="Times New Roman" w:cstheme="minorHAnsi"/>
          <w:color w:val="000000"/>
        </w:rPr>
        <w:t xml:space="preserve">State of Delaware policies established by the </w:t>
      </w:r>
      <w:r w:rsidR="00ED49E0">
        <w:rPr>
          <w:rFonts w:eastAsia="Times New Roman" w:cstheme="minorHAnsi"/>
          <w:color w:val="000000"/>
        </w:rPr>
        <w:t>Division</w:t>
      </w:r>
      <w:r w:rsidR="00567719">
        <w:rPr>
          <w:rFonts w:eastAsia="Times New Roman" w:cstheme="minorHAnsi"/>
          <w:color w:val="000000"/>
        </w:rPr>
        <w:t xml:space="preserve"> of Technology and Information (DTI) and Office of the State Treasurer (OST)</w:t>
      </w:r>
      <w:r w:rsidRPr="009649DA">
        <w:rPr>
          <w:rFonts w:eastAsia="Times New Roman" w:cstheme="minorHAnsi"/>
          <w:color w:val="000000"/>
        </w:rPr>
        <w:t>, and the procedures outlined in this document.</w:t>
      </w:r>
      <w:r w:rsidRPr="009649DA">
        <w:rPr>
          <w:rFonts w:eastAsia="Times New Roman" w:cstheme="minorHAnsi"/>
        </w:rPr>
        <w:t xml:space="preserve">  </w:t>
      </w:r>
      <w:r w:rsidR="008B6C13" w:rsidRPr="009649DA">
        <w:rPr>
          <w:rFonts w:eastAsia="Times New Roman" w:cstheme="minorHAnsi"/>
          <w:color w:val="000000"/>
        </w:rPr>
        <w:t xml:space="preserve">This policy </w:t>
      </w:r>
      <w:r w:rsidR="00C54584" w:rsidRPr="009649DA">
        <w:rPr>
          <w:rFonts w:eastAsia="Times New Roman" w:cstheme="minorHAnsi"/>
          <w:color w:val="000000"/>
        </w:rPr>
        <w:t>is</w:t>
      </w:r>
      <w:r w:rsidR="008B6C13" w:rsidRPr="009649DA">
        <w:rPr>
          <w:rFonts w:eastAsia="Times New Roman" w:cstheme="minorHAnsi"/>
          <w:color w:val="000000"/>
        </w:rPr>
        <w:t xml:space="preserve"> reviewed on an annual basis to ensure </w:t>
      </w:r>
      <w:r w:rsidR="00A16DF3" w:rsidRPr="009649DA">
        <w:rPr>
          <w:rFonts w:eastAsia="Times New Roman" w:cstheme="minorHAnsi"/>
          <w:color w:val="000000"/>
        </w:rPr>
        <w:t xml:space="preserve">operational processes </w:t>
      </w:r>
      <w:r w:rsidR="00221C5D" w:rsidRPr="009649DA">
        <w:rPr>
          <w:rFonts w:eastAsia="Times New Roman" w:cstheme="minorHAnsi"/>
          <w:color w:val="000000"/>
        </w:rPr>
        <w:t xml:space="preserve">are </w:t>
      </w:r>
      <w:r w:rsidR="00A16DF3" w:rsidRPr="009649DA">
        <w:rPr>
          <w:rFonts w:eastAsia="Times New Roman" w:cstheme="minorHAnsi"/>
          <w:color w:val="000000"/>
        </w:rPr>
        <w:t>documented and known to all affected parties</w:t>
      </w:r>
      <w:r w:rsidR="00792E60">
        <w:rPr>
          <w:rFonts w:eastAsia="Times New Roman" w:cstheme="minorHAnsi"/>
          <w:color w:val="000000"/>
        </w:rPr>
        <w:t xml:space="preserve"> and provided to agency personnel who are responsible for handling payment </w:t>
      </w:r>
      <w:r w:rsidR="0003537F">
        <w:rPr>
          <w:rFonts w:eastAsia="Times New Roman" w:cstheme="minorHAnsi"/>
          <w:color w:val="000000"/>
        </w:rPr>
        <w:t>data</w:t>
      </w:r>
      <w:r w:rsidR="00A16DF3" w:rsidRPr="009649DA">
        <w:rPr>
          <w:rFonts w:eastAsia="Times New Roman" w:cstheme="minorHAnsi"/>
          <w:color w:val="000000"/>
        </w:rPr>
        <w:t>.</w:t>
      </w:r>
    </w:p>
    <w:p w14:paraId="15B89A8A" w14:textId="77777777" w:rsidR="009B4A53" w:rsidRPr="009649DA" w:rsidRDefault="009B4A53" w:rsidP="00F5495D">
      <w:pPr>
        <w:spacing w:after="0" w:line="240" w:lineRule="auto"/>
        <w:rPr>
          <w:rFonts w:eastAsia="Times New Roman" w:cstheme="minorHAnsi"/>
          <w:color w:val="000000"/>
        </w:rPr>
      </w:pPr>
    </w:p>
    <w:p w14:paraId="2BA312EF" w14:textId="21C30EDF" w:rsidR="00352030" w:rsidRPr="009649DA" w:rsidRDefault="00352030" w:rsidP="00352030">
      <w:pPr>
        <w:pBdr>
          <w:bottom w:val="single" w:sz="4" w:space="1" w:color="948A54"/>
        </w:pBdr>
        <w:spacing w:after="0" w:line="240" w:lineRule="auto"/>
        <w:rPr>
          <w:rFonts w:eastAsia="Times New Roman" w:cstheme="minorHAnsi"/>
        </w:rPr>
      </w:pPr>
      <w:r w:rsidRPr="009649DA">
        <w:rPr>
          <w:rFonts w:eastAsia="Times New Roman" w:cstheme="minorHAnsi"/>
          <w:b/>
          <w:bCs/>
          <w:color w:val="000000"/>
        </w:rPr>
        <w:t>Business Process - Acc</w:t>
      </w:r>
      <w:r w:rsidR="0000238D" w:rsidRPr="009649DA">
        <w:rPr>
          <w:rFonts w:eastAsia="Times New Roman" w:cstheme="minorHAnsi"/>
          <w:b/>
          <w:bCs/>
          <w:color w:val="000000"/>
        </w:rPr>
        <w:t>epting and Handling Payments</w:t>
      </w:r>
    </w:p>
    <w:p w14:paraId="2A1A37E3" w14:textId="77777777" w:rsidR="00352030" w:rsidRPr="009649DA" w:rsidRDefault="00352030" w:rsidP="0035203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26F92AF9" w14:textId="087E40E7" w:rsidR="00C64809" w:rsidRPr="00C64809" w:rsidRDefault="00DE00F1" w:rsidP="00C6480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User Access and Physical</w:t>
      </w:r>
      <w:r w:rsidR="00A73CA1"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Security</w:t>
      </w:r>
      <w:r w:rsidRPr="00542544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493F21" w:rsidRPr="005425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="0010610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Access to </w:t>
      </w:r>
      <w:r w:rsidR="0009248B" w:rsidRPr="00B2719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INSERT </w:t>
      </w:r>
      <w:r w:rsidR="00D95EAE">
        <w:rPr>
          <w:rFonts w:asciiTheme="minorHAnsi" w:hAnsiTheme="minorHAnsi" w:cstheme="minorHAnsi"/>
          <w:b/>
          <w:bCs/>
          <w:color w:val="FF0000"/>
          <w:sz w:val="22"/>
          <w:szCs w:val="22"/>
        </w:rPr>
        <w:t>DIVISION NAME</w:t>
      </w:r>
      <w:r w:rsidR="0056771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33647">
        <w:rPr>
          <w:rFonts w:asciiTheme="minorHAnsi" w:hAnsiTheme="minorHAnsi" w:cstheme="minorHAnsi"/>
          <w:bCs/>
          <w:color w:val="auto"/>
          <w:sz w:val="22"/>
          <w:szCs w:val="22"/>
        </w:rPr>
        <w:t>payment</w:t>
      </w:r>
      <w:r w:rsidR="00E3364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0610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system components and data is limited to only those individuals whose jobs require such access.  Access to </w:t>
      </w:r>
      <w:r w:rsidR="00E33647">
        <w:rPr>
          <w:rFonts w:asciiTheme="minorHAnsi" w:hAnsiTheme="minorHAnsi" w:cstheme="minorHAnsi"/>
          <w:bCs/>
          <w:color w:val="auto"/>
          <w:sz w:val="22"/>
          <w:szCs w:val="22"/>
        </w:rPr>
        <w:t>payment</w:t>
      </w:r>
      <w:r w:rsidR="00E3364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0610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systems</w:t>
      </w:r>
      <w:r w:rsidR="00AB53FE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including all in-scope applications and </w:t>
      </w:r>
      <w:r w:rsidR="00A73CA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Point of Sale (POS) devices, </w:t>
      </w:r>
      <w:r w:rsidR="0003537F">
        <w:rPr>
          <w:rFonts w:asciiTheme="minorHAnsi" w:hAnsiTheme="minorHAnsi" w:cstheme="minorHAnsi"/>
          <w:bCs/>
          <w:color w:val="auto"/>
          <w:sz w:val="22"/>
          <w:szCs w:val="22"/>
        </w:rPr>
        <w:t>are</w:t>
      </w:r>
      <w:r w:rsidR="00106107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restricted</w:t>
      </w:r>
      <w:r w:rsidR="0032046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based on job responsibilities</w:t>
      </w:r>
      <w:r w:rsidR="00A73CA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User access requests are submitted via helpdesk tickets</w:t>
      </w:r>
      <w:r w:rsidR="005677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to DTI</w:t>
      </w:r>
      <w:r w:rsidR="000353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and OST as applicable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Access to </w:t>
      </w:r>
      <w:r w:rsidR="00E33647">
        <w:rPr>
          <w:rFonts w:asciiTheme="minorHAnsi" w:hAnsiTheme="minorHAnsi" w:cstheme="minorHAnsi"/>
          <w:bCs/>
          <w:color w:val="auto"/>
          <w:sz w:val="22"/>
          <w:szCs w:val="22"/>
        </w:rPr>
        <w:t>any payment system</w:t>
      </w:r>
      <w:r w:rsidR="00E82A8F" w:rsidRPr="009649D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is ro</w:t>
      </w:r>
      <w:r w:rsidR="00C34E6B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le-based and permission is 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granted </w:t>
      </w:r>
      <w:r w:rsidR="002047E5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upon successful completion of </w:t>
      </w:r>
      <w:r w:rsidR="000353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PCI DSS 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training</w:t>
      </w:r>
      <w:r w:rsidR="0003537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provided through the Delaware Learning Center (DLC)</w:t>
      </w:r>
      <w:r w:rsidR="00E82A8F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E5759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  <w:r w:rsidR="00C64809" w:rsidRPr="00C64809">
        <w:rPr>
          <w:rFonts w:asciiTheme="minorHAnsi" w:hAnsiTheme="minorHAnsi" w:cstheme="minorHAnsi"/>
          <w:bCs/>
          <w:color w:val="auto"/>
          <w:sz w:val="22"/>
          <w:szCs w:val="22"/>
        </w:rPr>
        <w:t>Upon hire, or upon the establishment of a new merchant account, the division’s business manager will notify OST of any new staff required to complete training.</w:t>
      </w:r>
      <w:r w:rsidR="00C648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</w:p>
    <w:p w14:paraId="4ADEC9DE" w14:textId="6E8C9690" w:rsidR="00E57599" w:rsidRPr="009649DA" w:rsidRDefault="002047E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When </w:t>
      </w:r>
      <w:r w:rsidR="00E5759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user </w:t>
      </w:r>
      <w:r w:rsidR="001B3E2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is 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terminated, transferred, or </w:t>
      </w:r>
      <w:r w:rsidR="00527C6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the job function no longer requires </w:t>
      </w:r>
      <w:r w:rsidR="00E33647" w:rsidRPr="00B2719B">
        <w:rPr>
          <w:rFonts w:asciiTheme="minorHAnsi" w:hAnsiTheme="minorHAnsi" w:cstheme="minorHAnsi"/>
          <w:color w:val="auto"/>
          <w:sz w:val="22"/>
          <w:szCs w:val="22"/>
        </w:rPr>
        <w:t>payment system(s)</w:t>
      </w:r>
      <w:r w:rsidR="008E75BD" w:rsidRPr="00B271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27C6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access, it is the </w:t>
      </w:r>
      <w:r w:rsidR="00ED49E0">
        <w:rPr>
          <w:rFonts w:asciiTheme="minorHAnsi" w:hAnsiTheme="minorHAnsi" w:cstheme="minorHAnsi"/>
          <w:bCs/>
          <w:color w:val="auto"/>
          <w:sz w:val="22"/>
          <w:szCs w:val="22"/>
        </w:rPr>
        <w:t>Division</w:t>
      </w:r>
      <w:r w:rsidR="0003537F">
        <w:rPr>
          <w:rFonts w:asciiTheme="minorHAnsi" w:hAnsiTheme="minorHAnsi" w:cstheme="minorHAnsi"/>
          <w:bCs/>
          <w:color w:val="auto"/>
          <w:sz w:val="22"/>
          <w:szCs w:val="22"/>
        </w:rPr>
        <w:t>’s</w:t>
      </w:r>
      <w:r w:rsidR="00E3364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27C6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responsibility to </w:t>
      </w:r>
      <w:r w:rsidR="00EE7E67">
        <w:rPr>
          <w:rFonts w:asciiTheme="minorHAnsi" w:hAnsiTheme="minorHAnsi" w:cstheme="minorHAnsi"/>
          <w:bCs/>
          <w:color w:val="auto"/>
          <w:sz w:val="22"/>
          <w:szCs w:val="22"/>
        </w:rPr>
        <w:t>include the removal of system(s) acce</w:t>
      </w:r>
      <w:r w:rsidR="00E8738C">
        <w:rPr>
          <w:rFonts w:asciiTheme="minorHAnsi" w:hAnsiTheme="minorHAnsi" w:cstheme="minorHAnsi"/>
          <w:bCs/>
          <w:color w:val="auto"/>
          <w:sz w:val="22"/>
          <w:szCs w:val="22"/>
        </w:rPr>
        <w:t>ss in their offboarding process</w:t>
      </w:r>
      <w:r w:rsidR="00E730E3">
        <w:rPr>
          <w:rFonts w:asciiTheme="minorHAnsi" w:hAnsiTheme="minorHAnsi" w:cstheme="minorHAnsi"/>
          <w:bCs/>
          <w:color w:val="auto"/>
          <w:sz w:val="22"/>
          <w:szCs w:val="22"/>
        </w:rPr>
        <w:t>, which includes notice to their Division IT representative</w:t>
      </w:r>
    </w:p>
    <w:p w14:paraId="5FF331A6" w14:textId="77777777" w:rsidR="002047E5" w:rsidRPr="009649DA" w:rsidRDefault="002047E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FC48BA5" w14:textId="2E66BE70" w:rsidR="00926DEC" w:rsidRPr="009649DA" w:rsidRDefault="00106107" w:rsidP="006E5BC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Devices that capture payment card data via direct physical interaction with the card should be physically secured and protected from tampering and substitution.  This includes inspection</w:t>
      </w:r>
      <w:r w:rsidR="005677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once </w:t>
      </w:r>
      <w:r w:rsidR="00B2719B">
        <w:rPr>
          <w:rFonts w:asciiTheme="minorHAnsi" w:hAnsiTheme="minorHAnsi" w:cstheme="minorHAnsi"/>
          <w:bCs/>
          <w:color w:val="auto"/>
          <w:sz w:val="22"/>
          <w:szCs w:val="22"/>
        </w:rPr>
        <w:t>each</w:t>
      </w:r>
      <w:r w:rsidR="005677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540C8">
        <w:rPr>
          <w:rFonts w:asciiTheme="minorHAnsi" w:hAnsiTheme="minorHAnsi" w:cstheme="minorHAnsi"/>
          <w:bCs/>
          <w:color w:val="auto"/>
          <w:sz w:val="22"/>
          <w:szCs w:val="22"/>
        </w:rPr>
        <w:t>one to three</w:t>
      </w:r>
      <w:r w:rsidR="005677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months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of Point of Sale (POS) device surface</w:t>
      </w:r>
      <w:r w:rsidR="008540C8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to detect tampering.  User access to sensitive areas that store, process, or transmit </w:t>
      </w:r>
      <w:r w:rsidR="008540C8">
        <w:rPr>
          <w:rFonts w:asciiTheme="minorHAnsi" w:hAnsiTheme="minorHAnsi" w:cstheme="minorHAnsi"/>
          <w:bCs/>
          <w:color w:val="auto"/>
          <w:sz w:val="22"/>
          <w:szCs w:val="22"/>
        </w:rPr>
        <w:t>payment</w:t>
      </w:r>
      <w:r w:rsidR="008540C8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data is restricted based on job function.</w:t>
      </w:r>
    </w:p>
    <w:p w14:paraId="022DE05C" w14:textId="77777777" w:rsidR="00285C04" w:rsidRPr="009649DA" w:rsidRDefault="00285C04" w:rsidP="0035203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504CB5E" w14:textId="6EC71441" w:rsidR="00352030" w:rsidRPr="009649DA" w:rsidRDefault="00352030" w:rsidP="006E5BCB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Annual </w:t>
      </w:r>
      <w:r w:rsidR="00BD29D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PCI DSS 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Awareness Training</w:t>
      </w:r>
      <w:r w:rsidRPr="00542544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493F21" w:rsidRPr="005425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9649DA">
        <w:rPr>
          <w:rFonts w:asciiTheme="minorHAnsi" w:hAnsiTheme="minorHAnsi" w:cstheme="minorHAnsi"/>
          <w:bCs/>
          <w:sz w:val="22"/>
          <w:szCs w:val="22"/>
        </w:rPr>
        <w:t xml:space="preserve">In accordance with PCI DSS Requirement 12.6.1, all users within the </w:t>
      </w:r>
      <w:r w:rsidR="0003537F" w:rsidRPr="00B2719B">
        <w:rPr>
          <w:rFonts w:asciiTheme="minorHAnsi" w:hAnsiTheme="minorHAnsi" w:cstheme="minorHAnsi"/>
          <w:b/>
          <w:color w:val="FF0000"/>
          <w:sz w:val="22"/>
          <w:szCs w:val="22"/>
        </w:rPr>
        <w:t>INSERT DIVISION NAME</w:t>
      </w:r>
      <w:r w:rsidR="0003537F" w:rsidRPr="00B2719B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E67E9E" w:rsidRPr="009649DA">
        <w:rPr>
          <w:rFonts w:asciiTheme="minorHAnsi" w:hAnsiTheme="minorHAnsi" w:cstheme="minorHAnsi"/>
          <w:bCs/>
          <w:sz w:val="22"/>
          <w:szCs w:val="22"/>
        </w:rPr>
        <w:t>authorized</w:t>
      </w:r>
      <w:r w:rsidRPr="009649DA">
        <w:rPr>
          <w:rFonts w:asciiTheme="minorHAnsi" w:hAnsiTheme="minorHAnsi" w:cstheme="minorHAnsi"/>
          <w:bCs/>
          <w:sz w:val="22"/>
          <w:szCs w:val="22"/>
        </w:rPr>
        <w:t xml:space="preserve"> to </w:t>
      </w:r>
      <w:r w:rsidR="00D05EC5" w:rsidRPr="009649DA">
        <w:rPr>
          <w:rFonts w:asciiTheme="minorHAnsi" w:hAnsiTheme="minorHAnsi" w:cstheme="minorHAnsi"/>
          <w:bCs/>
          <w:sz w:val="22"/>
          <w:szCs w:val="22"/>
        </w:rPr>
        <w:t>handle</w:t>
      </w:r>
      <w:r w:rsidRPr="009649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5EC5" w:rsidRPr="009649DA">
        <w:rPr>
          <w:rFonts w:asciiTheme="minorHAnsi" w:eastAsia="Times New Roman" w:hAnsiTheme="minorHAnsi" w:cstheme="minorHAnsi"/>
          <w:sz w:val="22"/>
          <w:szCs w:val="22"/>
        </w:rPr>
        <w:t>payments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C7287" w:rsidRPr="009649DA">
        <w:rPr>
          <w:rFonts w:asciiTheme="minorHAnsi" w:eastAsia="Times New Roman" w:hAnsiTheme="minorHAnsi" w:cstheme="minorHAnsi"/>
          <w:sz w:val="22"/>
          <w:szCs w:val="22"/>
        </w:rPr>
        <w:t xml:space="preserve">will 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>complete the PCI DSS awareness training</w:t>
      </w:r>
      <w:r w:rsidR="00D95EAE">
        <w:rPr>
          <w:rFonts w:asciiTheme="minorHAnsi" w:eastAsia="Times New Roman" w:hAnsiTheme="minorHAnsi" w:cstheme="minorHAnsi"/>
          <w:sz w:val="22"/>
          <w:szCs w:val="22"/>
        </w:rPr>
        <w:t xml:space="preserve"> found </w:t>
      </w:r>
      <w:r w:rsidR="00D95EA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within the </w:t>
      </w:r>
      <w:r w:rsidR="003B4ADF">
        <w:rPr>
          <w:rFonts w:asciiTheme="minorHAnsi" w:eastAsia="Times New Roman" w:hAnsiTheme="minorHAnsi" w:cstheme="minorHAnsi"/>
          <w:sz w:val="22"/>
          <w:szCs w:val="22"/>
        </w:rPr>
        <w:t>DLC</w:t>
      </w:r>
      <w:r w:rsidR="00BA7222">
        <w:rPr>
          <w:rFonts w:asciiTheme="minorHAnsi" w:eastAsia="Times New Roman" w:hAnsiTheme="minorHAnsi" w:cstheme="minorHAnsi"/>
          <w:sz w:val="22"/>
          <w:szCs w:val="22"/>
        </w:rPr>
        <w:t xml:space="preserve"> annually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.  The annual PCI DSS training is intended to promote employee awareness of technical and operational requirements to protect </w:t>
      </w:r>
      <w:r w:rsidR="008540C8">
        <w:rPr>
          <w:rFonts w:asciiTheme="minorHAnsi" w:eastAsia="Times New Roman" w:hAnsiTheme="minorHAnsi" w:cstheme="minorHAnsi"/>
          <w:sz w:val="22"/>
          <w:szCs w:val="22"/>
        </w:rPr>
        <w:t>all forms of payment</w:t>
      </w:r>
      <w:r w:rsidR="008540C8" w:rsidRPr="009649D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>data.</w:t>
      </w:r>
    </w:p>
    <w:p w14:paraId="13FA937E" w14:textId="77777777" w:rsidR="002D7C92" w:rsidRPr="009649DA" w:rsidRDefault="002D7C92" w:rsidP="00352030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0EF9180D" w14:textId="6660ED22" w:rsidR="00996111" w:rsidRPr="009649DA" w:rsidRDefault="002B334F">
      <w:pPr>
        <w:spacing w:after="0" w:line="240" w:lineRule="auto"/>
        <w:rPr>
          <w:rFonts w:cstheme="minorHAnsi"/>
          <w:b/>
          <w:bCs/>
        </w:rPr>
      </w:pPr>
      <w:r w:rsidRPr="009649DA">
        <w:rPr>
          <w:rFonts w:cstheme="minorHAnsi"/>
          <w:b/>
          <w:bCs/>
          <w:u w:val="single"/>
        </w:rPr>
        <w:t xml:space="preserve">Payment Card </w:t>
      </w:r>
      <w:r w:rsidR="002D7C92" w:rsidRPr="009649DA">
        <w:rPr>
          <w:rFonts w:cstheme="minorHAnsi"/>
          <w:b/>
          <w:bCs/>
          <w:u w:val="single"/>
        </w:rPr>
        <w:t>Terminals</w:t>
      </w:r>
      <w:r w:rsidR="002D7C92" w:rsidRPr="00542544">
        <w:rPr>
          <w:rFonts w:cstheme="minorHAnsi"/>
          <w:b/>
          <w:bCs/>
        </w:rPr>
        <w:t>:</w:t>
      </w:r>
      <w:r w:rsidR="002D7C92" w:rsidRPr="009649DA">
        <w:rPr>
          <w:rFonts w:cstheme="minorHAnsi"/>
          <w:b/>
          <w:bCs/>
        </w:rPr>
        <w:t xml:space="preserve"> </w:t>
      </w:r>
      <w:r w:rsidR="00493F21" w:rsidRPr="009649DA">
        <w:rPr>
          <w:rFonts w:cstheme="minorHAnsi"/>
          <w:b/>
          <w:bCs/>
        </w:rPr>
        <w:t xml:space="preserve"> </w:t>
      </w:r>
      <w:r w:rsidR="002D7C92" w:rsidRPr="009649DA">
        <w:rPr>
          <w:rFonts w:cstheme="minorHAnsi"/>
        </w:rPr>
        <w:t xml:space="preserve">Purchase or rental of payment card terminals, including mobile applications, must be coordinated through </w:t>
      </w:r>
      <w:r w:rsidR="00E67E9E">
        <w:rPr>
          <w:rFonts w:cstheme="minorHAnsi"/>
        </w:rPr>
        <w:t>OST</w:t>
      </w:r>
      <w:r w:rsidR="002D7C92" w:rsidRPr="009649DA">
        <w:rPr>
          <w:rFonts w:cstheme="minorHAnsi"/>
        </w:rPr>
        <w:t xml:space="preserve"> – only devices and locations that have been approved and tracked by </w:t>
      </w:r>
      <w:r w:rsidR="00E67E9E">
        <w:rPr>
          <w:rFonts w:cstheme="minorHAnsi"/>
        </w:rPr>
        <w:t>OST and DTI</w:t>
      </w:r>
      <w:r w:rsidR="002D7C92" w:rsidRPr="009649DA">
        <w:rPr>
          <w:rFonts w:cstheme="minorHAnsi"/>
        </w:rPr>
        <w:t xml:space="preserve"> may be used in any way associated with payment processing. All devic</w:t>
      </w:r>
      <w:r w:rsidR="004F5C9F" w:rsidRPr="009649DA">
        <w:rPr>
          <w:rFonts w:cstheme="minorHAnsi"/>
        </w:rPr>
        <w:t xml:space="preserve">es must meet PCI DSS </w:t>
      </w:r>
      <w:r w:rsidR="00726B0C">
        <w:rPr>
          <w:rFonts w:cstheme="minorHAnsi"/>
        </w:rPr>
        <w:t xml:space="preserve">software and hardware </w:t>
      </w:r>
      <w:r w:rsidR="004F5C9F" w:rsidRPr="009649DA">
        <w:rPr>
          <w:rFonts w:cstheme="minorHAnsi"/>
        </w:rPr>
        <w:t>standards</w:t>
      </w:r>
      <w:r w:rsidR="00726B0C">
        <w:rPr>
          <w:rStyle w:val="FootnoteReference"/>
          <w:rFonts w:cstheme="minorHAnsi"/>
        </w:rPr>
        <w:footnoteReference w:id="3"/>
      </w:r>
      <w:r w:rsidR="004F5C9F" w:rsidRPr="009649DA">
        <w:rPr>
          <w:rFonts w:cstheme="minorHAnsi"/>
        </w:rPr>
        <w:t xml:space="preserve">.  The </w:t>
      </w:r>
      <w:r w:rsidR="00ED49E0">
        <w:rPr>
          <w:rFonts w:cstheme="minorHAnsi"/>
        </w:rPr>
        <w:t>division</w:t>
      </w:r>
      <w:r w:rsidR="004F5C9F" w:rsidRPr="009649DA">
        <w:rPr>
          <w:rFonts w:cstheme="minorHAnsi"/>
        </w:rPr>
        <w:t xml:space="preserve"> is responsible to ensure that only authorized staff have access to the terminal</w:t>
      </w:r>
      <w:r w:rsidR="00E67E9E">
        <w:rPr>
          <w:rFonts w:cstheme="minorHAnsi"/>
        </w:rPr>
        <w:t>(s)</w:t>
      </w:r>
      <w:r w:rsidR="004F5C9F" w:rsidRPr="009649DA">
        <w:rPr>
          <w:rFonts w:cstheme="minorHAnsi"/>
        </w:rPr>
        <w:t xml:space="preserve"> and are properly trained. Terminals must be inventoried with </w:t>
      </w:r>
      <w:r w:rsidR="00E67E9E">
        <w:rPr>
          <w:rFonts w:cstheme="minorHAnsi"/>
        </w:rPr>
        <w:t>OST</w:t>
      </w:r>
      <w:r w:rsidR="004F5C9F" w:rsidRPr="009649DA">
        <w:rPr>
          <w:rFonts w:cstheme="minorHAnsi"/>
        </w:rPr>
        <w:t xml:space="preserve"> and must be maintained in a secure location.  Sharing or transfer of </w:t>
      </w:r>
      <w:r w:rsidRPr="009649DA">
        <w:rPr>
          <w:rFonts w:cstheme="minorHAnsi"/>
        </w:rPr>
        <w:t xml:space="preserve">wireless </w:t>
      </w:r>
      <w:r w:rsidR="004F5C9F" w:rsidRPr="009649DA">
        <w:rPr>
          <w:rFonts w:cstheme="minorHAnsi"/>
        </w:rPr>
        <w:t xml:space="preserve">terminals between </w:t>
      </w:r>
      <w:r w:rsidR="00ED49E0">
        <w:rPr>
          <w:rFonts w:cstheme="minorHAnsi"/>
        </w:rPr>
        <w:t>division</w:t>
      </w:r>
      <w:r w:rsidR="004F5C9F" w:rsidRPr="009649DA">
        <w:rPr>
          <w:rFonts w:cstheme="minorHAnsi"/>
        </w:rPr>
        <w:t xml:space="preserve">s is not allowed without proper approval from </w:t>
      </w:r>
      <w:r w:rsidR="00E67E9E">
        <w:rPr>
          <w:rFonts w:cstheme="minorHAnsi"/>
        </w:rPr>
        <w:t>OST</w:t>
      </w:r>
      <w:r w:rsidR="004F5C9F" w:rsidRPr="009649DA">
        <w:rPr>
          <w:rFonts w:cstheme="minorHAnsi"/>
        </w:rPr>
        <w:t xml:space="preserve">. It is the </w:t>
      </w:r>
      <w:r w:rsidR="00ED49E0">
        <w:rPr>
          <w:rFonts w:cstheme="minorHAnsi"/>
        </w:rPr>
        <w:t>division</w:t>
      </w:r>
      <w:r w:rsidR="004F5C9F" w:rsidRPr="009649DA">
        <w:rPr>
          <w:rFonts w:cstheme="minorHAnsi"/>
        </w:rPr>
        <w:t xml:space="preserve">’s responsibility to coordinate efforts with </w:t>
      </w:r>
      <w:r w:rsidR="00E67E9E">
        <w:rPr>
          <w:rFonts w:cstheme="minorHAnsi"/>
        </w:rPr>
        <w:t>OST</w:t>
      </w:r>
      <w:r w:rsidR="009549AD" w:rsidRPr="009649DA">
        <w:rPr>
          <w:rFonts w:cstheme="minorHAnsi"/>
        </w:rPr>
        <w:t xml:space="preserve"> to ensure that </w:t>
      </w:r>
      <w:r w:rsidR="004F5C9F" w:rsidRPr="009649DA">
        <w:rPr>
          <w:rFonts w:cstheme="minorHAnsi"/>
        </w:rPr>
        <w:t>terminals are updated with the most recent software version to reduce processing errors</w:t>
      </w:r>
      <w:r w:rsidR="00726B0C">
        <w:rPr>
          <w:rFonts w:cstheme="minorHAnsi"/>
        </w:rPr>
        <w:t xml:space="preserve"> and to maintain data security</w:t>
      </w:r>
      <w:r w:rsidR="004F5C9F" w:rsidRPr="009649DA">
        <w:rPr>
          <w:rFonts w:cstheme="minorHAnsi"/>
        </w:rPr>
        <w:t>.</w:t>
      </w:r>
    </w:p>
    <w:p w14:paraId="051C64F2" w14:textId="77777777" w:rsidR="00996111" w:rsidRPr="009649DA" w:rsidRDefault="00996111" w:rsidP="002D7C92">
      <w:pPr>
        <w:spacing w:after="0" w:line="240" w:lineRule="auto"/>
        <w:rPr>
          <w:rFonts w:cstheme="minorHAnsi"/>
          <w:b/>
          <w:bCs/>
        </w:rPr>
      </w:pPr>
    </w:p>
    <w:p w14:paraId="2D595090" w14:textId="27EED4B0" w:rsidR="00780BC1" w:rsidRPr="009649DA" w:rsidRDefault="00ED49E0" w:rsidP="002D7C92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</w:rPr>
        <w:t>Division</w:t>
      </w:r>
      <w:r w:rsidR="009B4A53" w:rsidRPr="009649DA">
        <w:rPr>
          <w:rFonts w:eastAsia="Times New Roman" w:cstheme="minorHAnsi"/>
          <w:color w:val="000000"/>
        </w:rPr>
        <w:t xml:space="preserve">s may use rented </w:t>
      </w:r>
      <w:r w:rsidR="00E0486F" w:rsidRPr="009649DA">
        <w:rPr>
          <w:rFonts w:eastAsia="Times New Roman" w:cstheme="minorHAnsi"/>
          <w:color w:val="000000"/>
        </w:rPr>
        <w:t>wireless</w:t>
      </w:r>
      <w:r w:rsidR="006950CE" w:rsidRPr="009649DA">
        <w:rPr>
          <w:rFonts w:eastAsia="Times New Roman" w:cstheme="minorHAnsi"/>
          <w:color w:val="000000"/>
        </w:rPr>
        <w:t xml:space="preserve"> </w:t>
      </w:r>
      <w:r w:rsidR="009B4A53" w:rsidRPr="009649DA">
        <w:rPr>
          <w:rFonts w:eastAsia="Times New Roman" w:cstheme="minorHAnsi"/>
          <w:color w:val="000000"/>
        </w:rPr>
        <w:t xml:space="preserve">terminals on a temporary basis to accept in-person card payments at specified times as agreed upon </w:t>
      </w:r>
      <w:r w:rsidR="00E67E9E">
        <w:rPr>
          <w:rFonts w:eastAsia="Times New Roman" w:cstheme="minorHAnsi"/>
          <w:color w:val="000000"/>
        </w:rPr>
        <w:t>i</w:t>
      </w:r>
      <w:r w:rsidR="009B4A53" w:rsidRPr="009649DA">
        <w:rPr>
          <w:rFonts w:eastAsia="Times New Roman" w:cstheme="minorHAnsi"/>
          <w:color w:val="000000"/>
        </w:rPr>
        <w:t xml:space="preserve">n </w:t>
      </w:r>
      <w:r w:rsidR="003B4ADF">
        <w:rPr>
          <w:rFonts w:eastAsia="Times New Roman" w:cstheme="minorHAnsi"/>
          <w:color w:val="000000"/>
        </w:rPr>
        <w:t>a</w:t>
      </w:r>
      <w:r w:rsidR="009B4A53" w:rsidRPr="009649DA">
        <w:rPr>
          <w:rFonts w:eastAsia="Times New Roman" w:cstheme="minorHAnsi"/>
          <w:color w:val="000000"/>
        </w:rPr>
        <w:t xml:space="preserve"> rental agreement.  </w:t>
      </w:r>
      <w:r w:rsidR="00275413">
        <w:rPr>
          <w:rFonts w:eastAsia="Times New Roman" w:cstheme="minorHAnsi"/>
          <w:color w:val="000000"/>
        </w:rPr>
        <w:t xml:space="preserve">If </w:t>
      </w:r>
      <w:r w:rsidR="009B4A53" w:rsidRPr="009649DA">
        <w:rPr>
          <w:rFonts w:eastAsia="Times New Roman" w:cstheme="minorHAnsi"/>
          <w:color w:val="000000"/>
        </w:rPr>
        <w:t>terminals</w:t>
      </w:r>
      <w:r w:rsidR="00275413">
        <w:rPr>
          <w:rFonts w:eastAsia="Times New Roman" w:cstheme="minorHAnsi"/>
          <w:color w:val="000000"/>
        </w:rPr>
        <w:t xml:space="preserve"> are used on an intermittent basis </w:t>
      </w:r>
      <w:r w:rsidR="009667BE">
        <w:rPr>
          <w:rFonts w:eastAsia="Times New Roman" w:cstheme="minorHAnsi"/>
          <w:color w:val="000000"/>
        </w:rPr>
        <w:t xml:space="preserve">they shall be </w:t>
      </w:r>
      <w:r w:rsidR="009B4A53" w:rsidRPr="009649DA">
        <w:rPr>
          <w:rFonts w:eastAsia="Times New Roman" w:cstheme="minorHAnsi"/>
          <w:color w:val="000000"/>
        </w:rPr>
        <w:t>kept in a secured location/locked when n</w:t>
      </w:r>
      <w:r w:rsidR="006950CE" w:rsidRPr="009649DA">
        <w:rPr>
          <w:rFonts w:eastAsia="Times New Roman" w:cstheme="minorHAnsi"/>
          <w:color w:val="000000"/>
        </w:rPr>
        <w:t>ot in use.</w:t>
      </w:r>
      <w:r w:rsidR="004B62F9">
        <w:rPr>
          <w:rFonts w:eastAsia="Times New Roman" w:cstheme="minorHAnsi"/>
          <w:color w:val="000000"/>
        </w:rPr>
        <w:t xml:space="preserve">  The procedures outlined in this document apply to both rented and purchased terminals</w:t>
      </w:r>
      <w:r w:rsidR="006D5B66">
        <w:rPr>
          <w:rFonts w:eastAsia="Times New Roman" w:cstheme="minorHAnsi"/>
          <w:color w:val="000000"/>
        </w:rPr>
        <w:t>.</w:t>
      </w:r>
    </w:p>
    <w:p w14:paraId="56746413" w14:textId="77777777" w:rsidR="008D535A" w:rsidRPr="009649DA" w:rsidRDefault="008D535A" w:rsidP="002D7C92">
      <w:pPr>
        <w:spacing w:after="0" w:line="240" w:lineRule="auto"/>
        <w:rPr>
          <w:rFonts w:cstheme="minorHAnsi"/>
        </w:rPr>
      </w:pPr>
    </w:p>
    <w:p w14:paraId="4A301CD8" w14:textId="39A47211" w:rsidR="00780BC1" w:rsidRPr="009649DA" w:rsidRDefault="005D020F" w:rsidP="00780B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Batch </w:t>
      </w:r>
      <w:r w:rsidR="00C51198" w:rsidRPr="009649DA">
        <w:rPr>
          <w:rFonts w:asciiTheme="minorHAnsi" w:hAnsiTheme="minorHAnsi" w:cstheme="minorHAnsi"/>
          <w:b/>
          <w:bCs/>
          <w:sz w:val="22"/>
          <w:szCs w:val="22"/>
          <w:u w:val="single"/>
        </w:rPr>
        <w:t>Settlement</w:t>
      </w:r>
      <w:r w:rsidR="00780BC1" w:rsidRPr="0054254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80BC1" w:rsidRPr="009649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4ADF">
        <w:rPr>
          <w:rFonts w:asciiTheme="minorHAnsi" w:hAnsiTheme="minorHAnsi" w:cstheme="minorHAnsi"/>
          <w:sz w:val="22"/>
          <w:szCs w:val="22"/>
        </w:rPr>
        <w:t>Transaction</w:t>
      </w:r>
      <w:r w:rsidR="003B4ADF" w:rsidRPr="009649DA">
        <w:rPr>
          <w:rFonts w:asciiTheme="minorHAnsi" w:hAnsiTheme="minorHAnsi" w:cstheme="minorHAnsi"/>
          <w:sz w:val="22"/>
          <w:szCs w:val="22"/>
        </w:rPr>
        <w:t xml:space="preserve">s 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must be settled no less </w:t>
      </w:r>
      <w:r w:rsidR="009649DA" w:rsidRPr="009649DA">
        <w:rPr>
          <w:rFonts w:asciiTheme="minorHAnsi" w:hAnsiTheme="minorHAnsi" w:cstheme="minorHAnsi"/>
          <w:sz w:val="22"/>
          <w:szCs w:val="22"/>
        </w:rPr>
        <w:t xml:space="preserve">frequently 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than daily. It may be prudent, given the level of activity, to settle batches on a more frequent basis.  The </w:t>
      </w:r>
      <w:r w:rsidR="00ED49E0">
        <w:rPr>
          <w:rFonts w:asciiTheme="minorHAnsi" w:hAnsiTheme="minorHAnsi" w:cstheme="minorHAnsi"/>
          <w:sz w:val="22"/>
          <w:szCs w:val="22"/>
        </w:rPr>
        <w:t>division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must maintain for </w:t>
      </w:r>
      <w:r w:rsidR="00E67E9E">
        <w:rPr>
          <w:rFonts w:asciiTheme="minorHAnsi" w:hAnsiTheme="minorHAnsi" w:cstheme="minorHAnsi"/>
          <w:sz w:val="22"/>
          <w:szCs w:val="22"/>
        </w:rPr>
        <w:t xml:space="preserve">a minimum of 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seven years all signed receipts and Batch Total Settlement Reports. </w:t>
      </w:r>
    </w:p>
    <w:p w14:paraId="32CF728C" w14:textId="77777777" w:rsidR="008C7287" w:rsidRPr="009649DA" w:rsidRDefault="008C7287" w:rsidP="00780B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A23CC" w14:textId="59FD41BE" w:rsidR="00780BC1" w:rsidRPr="009649DA" w:rsidRDefault="00E67E9E" w:rsidP="00780BC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INSERT NAME OF PAYMENT </w:t>
      </w:r>
      <w:r w:rsidR="009649DA" w:rsidRPr="009649DA">
        <w:rPr>
          <w:rFonts w:asciiTheme="minorHAnsi" w:hAnsiTheme="minorHAnsi" w:cstheme="minorHAnsi"/>
          <w:b/>
          <w:color w:val="FF0000"/>
          <w:sz w:val="22"/>
          <w:szCs w:val="22"/>
        </w:rPr>
        <w:t>SYSTEM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(S)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settles each night automatically. At 12:00 EST</w:t>
      </w:r>
      <w:r w:rsidR="009649DA" w:rsidRPr="009649DA">
        <w:rPr>
          <w:rFonts w:asciiTheme="minorHAnsi" w:hAnsiTheme="minorHAnsi" w:cstheme="minorHAnsi"/>
          <w:sz w:val="22"/>
          <w:szCs w:val="22"/>
        </w:rPr>
        <w:t>,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a batch for each merchant is closed for the day’s activity and sent to the credit card processor. Funds are posted to </w:t>
      </w:r>
      <w:r w:rsidR="00522591" w:rsidRPr="00B2719B">
        <w:rPr>
          <w:rFonts w:asciiTheme="minorHAnsi" w:hAnsiTheme="minorHAnsi" w:cstheme="minorHAnsi"/>
          <w:bCs/>
          <w:color w:val="auto"/>
          <w:sz w:val="22"/>
          <w:szCs w:val="22"/>
        </w:rPr>
        <w:t>First State Financials (FSF)</w:t>
      </w:r>
      <w:r w:rsidR="00522591" w:rsidRPr="00B271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based </w:t>
      </w:r>
      <w:r w:rsidR="009B77F0">
        <w:rPr>
          <w:rFonts w:asciiTheme="minorHAnsi" w:hAnsiTheme="minorHAnsi" w:cstheme="minorHAnsi"/>
          <w:sz w:val="22"/>
          <w:szCs w:val="22"/>
        </w:rPr>
        <w:t>on the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</w:t>
      </w:r>
      <w:r w:rsidR="00ED49E0">
        <w:rPr>
          <w:rFonts w:asciiTheme="minorHAnsi" w:hAnsiTheme="minorHAnsi" w:cstheme="minorHAnsi"/>
          <w:sz w:val="22"/>
          <w:szCs w:val="22"/>
        </w:rPr>
        <w:t>division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780BC1" w:rsidRPr="009649DA">
        <w:rPr>
          <w:rFonts w:asciiTheme="minorHAnsi" w:hAnsiTheme="minorHAnsi" w:cstheme="minorHAnsi"/>
          <w:sz w:val="22"/>
          <w:szCs w:val="22"/>
        </w:rPr>
        <w:t>s merchant account 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23F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an</w:t>
      </w:r>
      <w:r w:rsidR="00DF23F3">
        <w:rPr>
          <w:rFonts w:asciiTheme="minorHAnsi" w:hAnsiTheme="minorHAnsi" w:cstheme="minorHAnsi"/>
          <w:sz w:val="22"/>
          <w:szCs w:val="22"/>
        </w:rPr>
        <w:t xml:space="preserve"> </w:t>
      </w:r>
      <w:r w:rsidR="009B77F0">
        <w:rPr>
          <w:rFonts w:asciiTheme="minorHAnsi" w:hAnsiTheme="minorHAnsi" w:cstheme="minorHAnsi"/>
          <w:sz w:val="22"/>
          <w:szCs w:val="22"/>
        </w:rPr>
        <w:t xml:space="preserve">account </w:t>
      </w:r>
      <w:r w:rsidR="009649DA" w:rsidRPr="009649DA">
        <w:rPr>
          <w:rFonts w:asciiTheme="minorHAnsi" w:hAnsiTheme="minorHAnsi" w:cstheme="minorHAnsi"/>
          <w:sz w:val="22"/>
          <w:szCs w:val="22"/>
        </w:rPr>
        <w:t>ID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provided to </w:t>
      </w:r>
      <w:r>
        <w:rPr>
          <w:rFonts w:asciiTheme="minorHAnsi" w:hAnsiTheme="minorHAnsi" w:cstheme="minorHAnsi"/>
          <w:sz w:val="22"/>
          <w:szCs w:val="22"/>
        </w:rPr>
        <w:t>OST and the division</w:t>
      </w:r>
      <w:r w:rsidR="009B77F0">
        <w:rPr>
          <w:rFonts w:asciiTheme="minorHAnsi" w:hAnsiTheme="minorHAnsi" w:cstheme="minorHAnsi"/>
          <w:sz w:val="22"/>
          <w:szCs w:val="22"/>
        </w:rPr>
        <w:t xml:space="preserve"> at the time an account is established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.  </w:t>
      </w:r>
      <w:r w:rsidR="00ED49E0">
        <w:rPr>
          <w:rFonts w:asciiTheme="minorHAnsi" w:hAnsiTheme="minorHAnsi" w:cstheme="minorHAnsi"/>
          <w:sz w:val="22"/>
          <w:szCs w:val="22"/>
        </w:rPr>
        <w:t>Division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s will establish and maintain appropriate segregation of duties between </w:t>
      </w:r>
      <w:r w:rsidR="009B77F0">
        <w:rPr>
          <w:rFonts w:asciiTheme="minorHAnsi" w:hAnsiTheme="minorHAnsi" w:cstheme="minorHAnsi"/>
          <w:sz w:val="22"/>
          <w:szCs w:val="22"/>
        </w:rPr>
        <w:t>payment</w:t>
      </w:r>
      <w:r w:rsidR="009B77F0" w:rsidRPr="009649DA">
        <w:rPr>
          <w:rFonts w:asciiTheme="minorHAnsi" w:hAnsiTheme="minorHAnsi" w:cstheme="minorHAnsi"/>
          <w:sz w:val="22"/>
          <w:szCs w:val="22"/>
        </w:rPr>
        <w:t xml:space="preserve"> 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processing, processing of refunds, and the reconciliation of transactions. Each </w:t>
      </w:r>
      <w:r w:rsidR="00ED49E0">
        <w:rPr>
          <w:rFonts w:asciiTheme="minorHAnsi" w:hAnsiTheme="minorHAnsi" w:cstheme="minorHAnsi"/>
          <w:sz w:val="22"/>
          <w:szCs w:val="22"/>
        </w:rPr>
        <w:t>division</w:t>
      </w:r>
      <w:r w:rsidR="00780BC1" w:rsidRPr="009649DA">
        <w:rPr>
          <w:rFonts w:asciiTheme="minorHAnsi" w:hAnsiTheme="minorHAnsi" w:cstheme="minorHAnsi"/>
          <w:sz w:val="22"/>
          <w:szCs w:val="22"/>
        </w:rPr>
        <w:t xml:space="preserve"> is responsible to reconcile sales transactions to their general ledger no less than monthly. </w:t>
      </w:r>
    </w:p>
    <w:p w14:paraId="11EC3921" w14:textId="77777777" w:rsidR="00E06507" w:rsidRPr="009649DA" w:rsidRDefault="00E06507" w:rsidP="00780B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586FAC" w14:textId="1F2323EE" w:rsidR="00E06507" w:rsidRPr="009649DA" w:rsidRDefault="00E06507" w:rsidP="006E5BC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Disputes and Chargeback</w:t>
      </w:r>
      <w:r w:rsidRPr="00542544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964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B77F0">
        <w:rPr>
          <w:rFonts w:asciiTheme="minorHAnsi" w:hAnsiTheme="minorHAnsi" w:cstheme="minorHAnsi"/>
          <w:color w:val="auto"/>
          <w:sz w:val="22"/>
          <w:szCs w:val="22"/>
        </w:rPr>
        <w:t>The merchant processing provider or gateway product provider</w:t>
      </w:r>
      <w:r w:rsidR="009B77F0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535A" w:rsidRPr="009649DA">
        <w:rPr>
          <w:rFonts w:asciiTheme="minorHAnsi" w:hAnsiTheme="minorHAnsi" w:cstheme="minorHAnsi"/>
          <w:color w:val="auto"/>
          <w:sz w:val="22"/>
          <w:szCs w:val="22"/>
        </w:rPr>
        <w:t>will receive and report</w:t>
      </w:r>
      <w:r w:rsidR="008C7287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chargebacks and transaction</w:t>
      </w:r>
      <w:r w:rsidR="008D535A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disputes to the </w:t>
      </w:r>
      <w:r w:rsidR="00ED49E0">
        <w:rPr>
          <w:rFonts w:asciiTheme="minorHAnsi" w:hAnsiTheme="minorHAnsi" w:cstheme="minorHAnsi"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="00ED49E0">
        <w:rPr>
          <w:rFonts w:asciiTheme="minorHAnsi" w:hAnsiTheme="minorHAnsi" w:cstheme="minorHAnsi"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s can either accept or reject the chargeback.  If rejected, the </w:t>
      </w:r>
      <w:r w:rsidR="00ED49E0">
        <w:rPr>
          <w:rFonts w:asciiTheme="minorHAnsi" w:hAnsiTheme="minorHAnsi" w:cstheme="minorHAnsi"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will provide supporting documentation to justify that the transaction is valid.  Failure to respond </w:t>
      </w:r>
      <w:r w:rsidR="009649DA" w:rsidRPr="009649DA">
        <w:rPr>
          <w:rFonts w:asciiTheme="minorHAnsi" w:hAnsiTheme="minorHAnsi" w:cstheme="minorHAnsi"/>
          <w:color w:val="auto"/>
          <w:sz w:val="22"/>
          <w:szCs w:val="22"/>
        </w:rPr>
        <w:t>within the allocated timeframe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will result in a loss </w:t>
      </w:r>
      <w:r w:rsidR="00E67E9E">
        <w:rPr>
          <w:rFonts w:asciiTheme="minorHAnsi" w:hAnsiTheme="minorHAnsi" w:cstheme="minorHAnsi"/>
          <w:color w:val="auto"/>
          <w:sz w:val="22"/>
          <w:szCs w:val="22"/>
        </w:rPr>
        <w:t xml:space="preserve">of the transaction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to the </w:t>
      </w:r>
      <w:r w:rsidR="00ED49E0">
        <w:rPr>
          <w:rFonts w:asciiTheme="minorHAnsi" w:hAnsiTheme="minorHAnsi" w:cstheme="minorHAnsi"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. Prompt attention to these matters is a priority. It is the </w:t>
      </w:r>
      <w:r w:rsidR="00ED49E0">
        <w:rPr>
          <w:rFonts w:asciiTheme="minorHAnsi" w:hAnsiTheme="minorHAnsi" w:cstheme="minorHAnsi"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>’s responsibility to develop appropriate internal controls to mitigate risks related to chargebacks.</w:t>
      </w:r>
    </w:p>
    <w:p w14:paraId="11C0D44E" w14:textId="77777777" w:rsidR="00B519E8" w:rsidRPr="009649DA" w:rsidRDefault="00B519E8" w:rsidP="00352030">
      <w:pPr>
        <w:spacing w:after="0" w:line="240" w:lineRule="auto"/>
        <w:rPr>
          <w:rFonts w:eastAsia="Times New Roman" w:cstheme="minorHAnsi"/>
          <w:color w:val="000000"/>
        </w:rPr>
      </w:pPr>
    </w:p>
    <w:p w14:paraId="534D0BB1" w14:textId="77777777" w:rsidR="00D514CF" w:rsidRPr="009649DA" w:rsidRDefault="00D514CF" w:rsidP="00D514C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Physical Security Procedures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</w:p>
    <w:p w14:paraId="4DC654A6" w14:textId="77777777" w:rsidR="00D514CF" w:rsidRPr="009649DA" w:rsidRDefault="00D514CF" w:rsidP="00D514CF">
      <w:pPr>
        <w:pStyle w:val="Default"/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4CAA4BDB" w14:textId="3A85E028" w:rsidR="00D514CF" w:rsidRPr="009649DA" w:rsidRDefault="00D514CF" w:rsidP="00D514CF">
      <w:pPr>
        <w:pStyle w:val="Default"/>
        <w:numPr>
          <w:ilvl w:val="0"/>
          <w:numId w:val="1"/>
        </w:numPr>
        <w:tabs>
          <w:tab w:val="left" w:pos="360"/>
        </w:tabs>
        <w:ind w:left="36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Upon hire, staff </w:t>
      </w:r>
      <w:r w:rsidR="008C1B85" w:rsidRPr="009649DA">
        <w:rPr>
          <w:rFonts w:asciiTheme="minorHAnsi" w:hAnsiTheme="minorHAnsi" w:cstheme="minorHAnsi"/>
          <w:color w:val="auto"/>
          <w:sz w:val="22"/>
          <w:szCs w:val="22"/>
        </w:rPr>
        <w:t>are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trained to </w:t>
      </w:r>
      <w:r w:rsidR="00B2719B" w:rsidRPr="009649DA">
        <w:rPr>
          <w:rFonts w:asciiTheme="minorHAnsi" w:hAnsiTheme="minorHAnsi" w:cstheme="minorHAnsi"/>
          <w:color w:val="auto"/>
          <w:sz w:val="22"/>
          <w:szCs w:val="22"/>
        </w:rPr>
        <w:t>follow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standards established by the PCI </w:t>
      </w:r>
      <w:r w:rsidR="008C1B85" w:rsidRPr="009649DA">
        <w:rPr>
          <w:rFonts w:asciiTheme="minorHAnsi" w:eastAsia="Times New Roman" w:hAnsiTheme="minorHAnsi" w:cstheme="minorHAnsi"/>
          <w:sz w:val="22"/>
          <w:szCs w:val="22"/>
        </w:rPr>
        <w:t>SSC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>,</w:t>
      </w:r>
      <w:r w:rsidR="009C1649">
        <w:rPr>
          <w:rFonts w:asciiTheme="minorHAnsi" w:eastAsia="Times New Roman" w:hAnsiTheme="minorHAnsi" w:cstheme="minorHAnsi"/>
          <w:sz w:val="22"/>
          <w:szCs w:val="22"/>
        </w:rPr>
        <w:t xml:space="preserve"> NACHA,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81AD7">
        <w:rPr>
          <w:rFonts w:asciiTheme="minorHAnsi" w:eastAsia="Times New Roman" w:hAnsiTheme="minorHAnsi" w:cstheme="minorHAnsi"/>
          <w:sz w:val="22"/>
          <w:szCs w:val="22"/>
        </w:rPr>
        <w:t>DTI, OST,</w:t>
      </w:r>
      <w:r w:rsidR="009667B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81AD7">
        <w:rPr>
          <w:rFonts w:asciiTheme="minorHAnsi" w:eastAsia="Times New Roman" w:hAnsiTheme="minorHAnsi" w:cstheme="minorHAnsi"/>
          <w:b/>
          <w:color w:val="FF0000"/>
          <w:sz w:val="22"/>
          <w:szCs w:val="22"/>
        </w:rPr>
        <w:t>INSERT DIVISION NAME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, and the operational procedures outlined in this document.  In addition, staff </w:t>
      </w:r>
      <w:r w:rsidR="008C1B85" w:rsidRPr="009649DA">
        <w:rPr>
          <w:rFonts w:asciiTheme="minorHAnsi" w:eastAsia="Times New Roman" w:hAnsiTheme="minorHAnsi" w:cstheme="minorHAnsi"/>
          <w:sz w:val="22"/>
          <w:szCs w:val="22"/>
        </w:rPr>
        <w:t>are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 xml:space="preserve"> trained to be aware of methods in which devices can be tampered </w:t>
      </w:r>
      <w:r w:rsidR="008C1B85" w:rsidRPr="009649DA">
        <w:rPr>
          <w:rFonts w:asciiTheme="minorHAnsi" w:eastAsia="Times New Roman" w:hAnsiTheme="minorHAnsi" w:cstheme="minorHAnsi"/>
          <w:sz w:val="22"/>
          <w:szCs w:val="22"/>
        </w:rPr>
        <w:t xml:space="preserve">with 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>or replaced.  Training includes the following</w:t>
      </w:r>
      <w:r w:rsidR="00031D42">
        <w:rPr>
          <w:rFonts w:asciiTheme="minorHAnsi" w:eastAsia="Times New Roman" w:hAnsiTheme="minorHAnsi" w:cstheme="minorHAnsi"/>
          <w:sz w:val="22"/>
          <w:szCs w:val="22"/>
        </w:rPr>
        <w:t xml:space="preserve"> practices are adhered to</w:t>
      </w:r>
      <w:r w:rsidRPr="009649DA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3C2CEB72" w14:textId="22262D97" w:rsidR="00D514CF" w:rsidRPr="009649DA" w:rsidRDefault="00031D42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Verifying</w:t>
      </w:r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the identity of any third-party persons claiming to be repair or maintenance personnel, prior to granting them access to modify or troubleshoot </w:t>
      </w:r>
      <w:proofErr w:type="gramStart"/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>devices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proofErr w:type="gramEnd"/>
    </w:p>
    <w:p w14:paraId="22515AEB" w14:textId="2DAFC250" w:rsidR="00D514CF" w:rsidRPr="009649DA" w:rsidRDefault="00D514CF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>Be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aware of suspicious behavior.  For example, attempts by unknown persons to unplug or 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>tamper with</w:t>
      </w:r>
      <w:r w:rsidR="009C1649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>devices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>, computers with payment applications, and websites that host payment applications</w:t>
      </w:r>
      <w:r w:rsidR="00031D42">
        <w:rPr>
          <w:rFonts w:asciiTheme="minorHAnsi" w:hAnsiTheme="minorHAnsi" w:cstheme="minorHAnsi"/>
          <w:color w:val="auto"/>
          <w:sz w:val="22"/>
          <w:szCs w:val="22"/>
        </w:rPr>
        <w:t>; and</w:t>
      </w:r>
    </w:p>
    <w:p w14:paraId="2619AF6E" w14:textId="4ABE4357" w:rsidR="00D514CF" w:rsidRPr="009649DA" w:rsidRDefault="00031D42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Not altering</w:t>
      </w:r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or 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 xml:space="preserve">directly </w:t>
      </w:r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>attempt</w:t>
      </w:r>
      <w:r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to troubleshoot terminals. Troubleshooting support is provided by </w:t>
      </w:r>
      <w:r w:rsidR="00E81AD7">
        <w:rPr>
          <w:rFonts w:asciiTheme="minorHAnsi" w:hAnsiTheme="minorHAnsi" w:cstheme="minorHAnsi"/>
          <w:color w:val="auto"/>
          <w:sz w:val="22"/>
          <w:szCs w:val="22"/>
        </w:rPr>
        <w:t>OST and/or DTI</w:t>
      </w:r>
      <w:r w:rsidR="00D514CF" w:rsidRPr="009649D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6BE26E" w14:textId="77777777" w:rsidR="00D514CF" w:rsidRPr="009649DA" w:rsidRDefault="00D514CF" w:rsidP="00D514CF">
      <w:pPr>
        <w:pStyle w:val="Default"/>
        <w:tabs>
          <w:tab w:val="left" w:pos="360"/>
        </w:tabs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14:paraId="3FDA7D23" w14:textId="4C26B45C" w:rsidR="00D514CF" w:rsidRPr="009649DA" w:rsidRDefault="00D514CF" w:rsidP="00D514CF">
      <w:pPr>
        <w:pStyle w:val="Default"/>
        <w:numPr>
          <w:ilvl w:val="0"/>
          <w:numId w:val="1"/>
        </w:numPr>
        <w:tabs>
          <w:tab w:val="left" w:pos="360"/>
        </w:tabs>
        <w:ind w:left="36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At </w:t>
      </w:r>
      <w:r w:rsidR="008C1B85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start of each day (prior to use), the terminal surfaces are checked to detect tampering or substitution.   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 xml:space="preserve">At a minimum of </w:t>
      </w:r>
      <w:r w:rsidR="009D026D">
        <w:rPr>
          <w:rFonts w:asciiTheme="minorHAnsi" w:hAnsiTheme="minorHAnsi" w:cstheme="minorHAnsi"/>
          <w:color w:val="auto"/>
          <w:sz w:val="22"/>
          <w:szCs w:val="22"/>
        </w:rPr>
        <w:t>each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 xml:space="preserve"> one to three months, a</w:t>
      </w:r>
      <w:r w:rsidR="00B2719B">
        <w:rPr>
          <w:rFonts w:asciiTheme="minorHAnsi" w:hAnsiTheme="minorHAnsi" w:cstheme="minorHAnsi"/>
          <w:color w:val="auto"/>
          <w:sz w:val="22"/>
          <w:szCs w:val="22"/>
        </w:rPr>
        <w:t xml:space="preserve">n </w:t>
      </w:r>
      <w:r w:rsidR="009D026D">
        <w:rPr>
          <w:rFonts w:asciiTheme="minorHAnsi" w:hAnsiTheme="minorHAnsi" w:cstheme="minorHAnsi"/>
          <w:color w:val="auto"/>
          <w:sz w:val="22"/>
          <w:szCs w:val="22"/>
        </w:rPr>
        <w:t>in-depth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 xml:space="preserve"> assessment of all terminals is conducted u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sing the </w:t>
      </w:r>
      <w:r w:rsidR="00B2719B">
        <w:rPr>
          <w:rFonts w:asciiTheme="minorHAnsi" w:hAnsiTheme="minorHAnsi" w:cstheme="minorHAnsi"/>
          <w:color w:val="auto"/>
          <w:sz w:val="22"/>
          <w:szCs w:val="22"/>
        </w:rPr>
        <w:t>Merchant Tampering Checklist</w:t>
      </w:r>
      <w:r w:rsidR="003F1352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719B" w:rsidRPr="009D026D">
        <w:rPr>
          <w:rFonts w:asciiTheme="minorHAnsi" w:hAnsiTheme="minorHAnsi" w:cstheme="minorHAnsi"/>
          <w:b/>
          <w:bCs/>
          <w:color w:val="FF0000"/>
          <w:sz w:val="22"/>
          <w:szCs w:val="22"/>
        </w:rPr>
        <w:t>(INSERT FILE LOCATION)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>, verify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that the device</w:t>
      </w:r>
      <w:r w:rsidR="009C1649">
        <w:rPr>
          <w:rFonts w:asciiTheme="minorHAnsi" w:hAnsiTheme="minorHAnsi" w:cstheme="minorHAnsi"/>
          <w:color w:val="auto"/>
          <w:sz w:val="22"/>
          <w:szCs w:val="22"/>
        </w:rPr>
        <w:t>(s)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has not been swapped with a fraudulent device by performing the following steps:</w:t>
      </w:r>
    </w:p>
    <w:p w14:paraId="3BFF8620" w14:textId="2A39E095" w:rsidR="00D514CF" w:rsidRPr="009649DA" w:rsidRDefault="00D514CF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Compare the serial number and model number listed on the terminal to that included on the </w:t>
      </w:r>
      <w:r w:rsidR="00B2719B">
        <w:rPr>
          <w:rFonts w:asciiTheme="minorHAnsi" w:hAnsiTheme="minorHAnsi" w:cstheme="minorHAnsi"/>
          <w:color w:val="auto"/>
          <w:sz w:val="22"/>
          <w:szCs w:val="22"/>
        </w:rPr>
        <w:t xml:space="preserve">PCI Asset Inventory Tracking </w:t>
      </w:r>
      <w:proofErr w:type="gramStart"/>
      <w:r w:rsidR="00B2719B">
        <w:rPr>
          <w:rFonts w:asciiTheme="minorHAnsi" w:hAnsiTheme="minorHAnsi" w:cstheme="minorHAnsi"/>
          <w:color w:val="auto"/>
          <w:sz w:val="22"/>
          <w:szCs w:val="22"/>
        </w:rPr>
        <w:t>Sheet</w:t>
      </w:r>
      <w:r w:rsidR="00031D42">
        <w:rPr>
          <w:rFonts w:asciiTheme="minorHAnsi" w:hAnsiTheme="minorHAnsi" w:cstheme="minorHAnsi"/>
          <w:color w:val="auto"/>
          <w:sz w:val="22"/>
          <w:szCs w:val="22"/>
        </w:rPr>
        <w:t>;</w:t>
      </w:r>
      <w:proofErr w:type="gramEnd"/>
    </w:p>
    <w:p w14:paraId="54C94E5E" w14:textId="2889936A" w:rsidR="00D514CF" w:rsidRPr="009649DA" w:rsidRDefault="00D514CF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Review the tamper evident stickers on the surface of the terminal and make sure it is </w:t>
      </w:r>
      <w:proofErr w:type="gramStart"/>
      <w:r w:rsidRPr="009649DA">
        <w:rPr>
          <w:rFonts w:asciiTheme="minorHAnsi" w:hAnsiTheme="minorHAnsi" w:cstheme="minorHAnsi"/>
          <w:color w:val="auto"/>
          <w:sz w:val="22"/>
          <w:szCs w:val="22"/>
        </w:rPr>
        <w:t>intact</w:t>
      </w:r>
      <w:r w:rsidR="00031D42">
        <w:rPr>
          <w:rFonts w:asciiTheme="minorHAnsi" w:hAnsiTheme="minorHAnsi" w:cstheme="minorHAnsi"/>
          <w:color w:val="auto"/>
          <w:sz w:val="22"/>
          <w:szCs w:val="22"/>
        </w:rPr>
        <w:t>;</w:t>
      </w:r>
      <w:proofErr w:type="gramEnd"/>
    </w:p>
    <w:p w14:paraId="49D056B2" w14:textId="40E914F6" w:rsidR="00D514CF" w:rsidRPr="009649DA" w:rsidRDefault="00D514CF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>Inspect the terminal and review for foreign objects (</w:t>
      </w:r>
      <w:proofErr w:type="gramStart"/>
      <w:r w:rsidRPr="009649DA">
        <w:rPr>
          <w:rFonts w:asciiTheme="minorHAnsi" w:hAnsiTheme="minorHAnsi" w:cstheme="minorHAnsi"/>
          <w:color w:val="auto"/>
          <w:sz w:val="22"/>
          <w:szCs w:val="22"/>
        </w:rPr>
        <w:t>i.e.</w:t>
      </w:r>
      <w:proofErr w:type="gramEnd"/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skimmers), unexpected attachments or cables plugged into the device, pry marks, broken or stressed seams</w:t>
      </w:r>
      <w:r w:rsidR="00031D4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89ACFBE" w14:textId="48D5F7D6" w:rsidR="00D514CF" w:rsidRPr="009649DA" w:rsidRDefault="00D514CF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If you notice anything unusual or suspect that the terminal has been tampered </w:t>
      </w:r>
      <w:r w:rsidR="00D05EC5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with 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or substituted, contact </w:t>
      </w:r>
      <w:r w:rsidR="00E81AD7">
        <w:rPr>
          <w:rFonts w:asciiTheme="minorHAnsi" w:hAnsiTheme="minorHAnsi" w:cstheme="minorHAnsi"/>
          <w:color w:val="auto"/>
          <w:sz w:val="22"/>
          <w:szCs w:val="22"/>
        </w:rPr>
        <w:t>OST and DTI</w:t>
      </w:r>
      <w:r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 immediately at</w:t>
      </w:r>
      <w:r w:rsidR="004521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45210E" w:rsidRPr="0045210E">
          <w:rPr>
            <w:rStyle w:val="Hyperlink"/>
            <w:rFonts w:asciiTheme="minorHAnsi" w:hAnsiTheme="minorHAnsi" w:cstheme="minorHAnsi"/>
            <w:sz w:val="22"/>
            <w:szCs w:val="22"/>
          </w:rPr>
          <w:t>pci_compliance@delaware.gov</w:t>
        </w:r>
      </w:hyperlink>
      <w:r w:rsidR="00E81AD7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hyperlink r:id="rId12" w:history="1">
        <w:r w:rsidR="00031D42" w:rsidRPr="00270313">
          <w:rPr>
            <w:rStyle w:val="Hyperlink"/>
            <w:rFonts w:asciiTheme="minorHAnsi" w:hAnsiTheme="minorHAnsi" w:cstheme="minorHAnsi"/>
            <w:sz w:val="22"/>
            <w:szCs w:val="22"/>
          </w:rPr>
          <w:t>DTI_ServiceDesk@delaware.gov</w:t>
        </w:r>
      </w:hyperlink>
      <w:r w:rsidR="00031D42">
        <w:rPr>
          <w:rFonts w:asciiTheme="minorHAnsi" w:hAnsiTheme="minorHAnsi" w:cstheme="minorHAnsi"/>
          <w:color w:val="auto"/>
          <w:sz w:val="22"/>
          <w:szCs w:val="22"/>
        </w:rPr>
        <w:t>; and</w:t>
      </w:r>
      <w:hyperlink r:id="rId13" w:history="1"/>
    </w:p>
    <w:p w14:paraId="46208723" w14:textId="71DA69B6" w:rsidR="00587BAC" w:rsidRPr="009649DA" w:rsidRDefault="00587BAC" w:rsidP="00D514CF">
      <w:pPr>
        <w:pStyle w:val="Default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sz w:val="22"/>
          <w:szCs w:val="22"/>
        </w:rPr>
        <w:t xml:space="preserve">When mobile terminals are changing hands between users, an additional tamper check will be performed by </w:t>
      </w:r>
      <w:r w:rsidR="00FB6FAA">
        <w:rPr>
          <w:rFonts w:asciiTheme="minorHAnsi" w:hAnsiTheme="minorHAnsi" w:cstheme="minorHAnsi"/>
          <w:sz w:val="22"/>
          <w:szCs w:val="22"/>
        </w:rPr>
        <w:t>the section manager responsible for payments at the end of that business day</w:t>
      </w:r>
      <w:r w:rsidRPr="009649DA">
        <w:rPr>
          <w:rFonts w:asciiTheme="minorHAnsi" w:hAnsiTheme="minorHAnsi" w:cstheme="minorHAnsi"/>
          <w:sz w:val="22"/>
          <w:szCs w:val="22"/>
        </w:rPr>
        <w:t>.</w:t>
      </w:r>
    </w:p>
    <w:p w14:paraId="68ED1EC2" w14:textId="77777777" w:rsidR="00D514CF" w:rsidRPr="009649DA" w:rsidRDefault="00D514CF" w:rsidP="000524E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BC1D888" w14:textId="539197BF" w:rsidR="000524E4" w:rsidRPr="009649DA" w:rsidRDefault="005D020F" w:rsidP="000524E4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Payment </w:t>
      </w:r>
      <w:r w:rsidR="000524E4" w:rsidRPr="009649D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Processing Procedures</w:t>
      </w:r>
      <w:r w:rsidR="000524E4" w:rsidRPr="00542544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069CD45E" w14:textId="77777777" w:rsidR="009D4990" w:rsidRPr="009649DA" w:rsidRDefault="009D4990" w:rsidP="000524E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8BD079" w14:textId="13774D69" w:rsidR="009D4990" w:rsidRPr="009649DA" w:rsidRDefault="009D4990" w:rsidP="009D4990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Mail Order – The </w:t>
      </w:r>
      <w:r w:rsidR="00ED49E0">
        <w:rPr>
          <w:rFonts w:asciiTheme="minorHAnsi" w:hAnsiTheme="minorHAnsi" w:cstheme="minorHAnsi"/>
          <w:b/>
          <w:bCs/>
          <w:color w:val="auto"/>
          <w:sz w:val="22"/>
          <w:szCs w:val="22"/>
        </w:rPr>
        <w:t>division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receives mail orders for </w:t>
      </w:r>
      <w:r w:rsidR="00096F60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INSERT BUSINESS REASON(S)</w:t>
      </w:r>
      <w:r w:rsidR="00096F60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and </w:t>
      </w:r>
      <w:r w:rsidR="009C1649">
        <w:rPr>
          <w:rFonts w:asciiTheme="minorHAnsi" w:hAnsiTheme="minorHAnsi" w:cstheme="minorHAnsi"/>
          <w:b/>
          <w:bCs/>
          <w:color w:val="auto"/>
          <w:sz w:val="22"/>
          <w:szCs w:val="22"/>
        </w:rPr>
        <w:t>payment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information is returned on </w:t>
      </w:r>
      <w:r w:rsidR="00472607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form.</w:t>
      </w:r>
    </w:p>
    <w:p w14:paraId="5CF55A8C" w14:textId="098C5F30" w:rsidR="008F6BF6" w:rsidRDefault="008F6BF6" w:rsidP="008F6BF6">
      <w:pPr>
        <w:pStyle w:val="NoSpacing"/>
        <w:numPr>
          <w:ilvl w:val="1"/>
          <w:numId w:val="6"/>
        </w:numPr>
      </w:pPr>
      <w:r>
        <w:t xml:space="preserve">Mail is sorted and opened by two staff members; </w:t>
      </w:r>
      <w:r w:rsidR="009C1649">
        <w:t>payment forms with sensitive data</w:t>
      </w:r>
      <w:r>
        <w:t xml:space="preserve"> are separated from checks. </w:t>
      </w:r>
    </w:p>
    <w:p w14:paraId="4B9FA15F" w14:textId="68FCAE47" w:rsidR="008F6BF6" w:rsidRDefault="009C1649" w:rsidP="008F6BF6">
      <w:pPr>
        <w:pStyle w:val="NoSpacing"/>
        <w:numPr>
          <w:ilvl w:val="1"/>
          <w:numId w:val="6"/>
        </w:numPr>
      </w:pPr>
      <w:r>
        <w:t>Forms</w:t>
      </w:r>
      <w:r w:rsidR="008F6BF6">
        <w:t xml:space="preserve"> with </w:t>
      </w:r>
      <w:r>
        <w:t>payment data (credit, debit, bank account, or routing information)</w:t>
      </w:r>
      <w:r w:rsidR="008F6BF6">
        <w:t xml:space="preserve"> are placed in a pouch and kept locked in </w:t>
      </w:r>
      <w:r w:rsidR="00FB6FAA">
        <w:t>a</w:t>
      </w:r>
      <w:r w:rsidR="008F6BF6">
        <w:t xml:space="preserve"> Manager’s office until a </w:t>
      </w:r>
      <w:r w:rsidR="00FB6FAA">
        <w:t>p</w:t>
      </w:r>
      <w:r w:rsidR="008F6BF6">
        <w:t xml:space="preserve">rocessor is available to </w:t>
      </w:r>
      <w:r w:rsidR="005C5A3E">
        <w:t>process the transaction</w:t>
      </w:r>
      <w:r w:rsidR="00FB6FAA">
        <w:t xml:space="preserve">, which shall occur </w:t>
      </w:r>
      <w:r>
        <w:t xml:space="preserve">either </w:t>
      </w:r>
      <w:r w:rsidR="008F6BF6">
        <w:t>the same or next day.</w:t>
      </w:r>
    </w:p>
    <w:p w14:paraId="45FEA4A9" w14:textId="40B6D98C" w:rsidR="008F6BF6" w:rsidRDefault="008F6BF6" w:rsidP="008F6BF6">
      <w:pPr>
        <w:pStyle w:val="NoSpacing"/>
        <w:numPr>
          <w:ilvl w:val="1"/>
          <w:numId w:val="6"/>
        </w:numPr>
      </w:pPr>
      <w:r>
        <w:t xml:space="preserve">Staff enter the </w:t>
      </w:r>
      <w:r w:rsidR="00877AA9">
        <w:t>payment</w:t>
      </w:r>
      <w:r w:rsidR="00096F60">
        <w:t xml:space="preserve"> </w:t>
      </w:r>
      <w:r>
        <w:t xml:space="preserve">information into </w:t>
      </w:r>
      <w:r w:rsidR="00877AA9">
        <w:t>an encrypted</w:t>
      </w:r>
      <w:r w:rsidR="00096F60">
        <w:t xml:space="preserve"> web based or point of sale terminal</w:t>
      </w:r>
      <w:r w:rsidR="00FB6FAA">
        <w:t>:</w:t>
      </w:r>
    </w:p>
    <w:p w14:paraId="54FFB77E" w14:textId="0F0730B5" w:rsidR="008F6BF6" w:rsidRDefault="008F6BF6" w:rsidP="008F6BF6">
      <w:pPr>
        <w:pStyle w:val="NoSpacing"/>
        <w:numPr>
          <w:ilvl w:val="2"/>
          <w:numId w:val="6"/>
        </w:numPr>
      </w:pPr>
      <w:r>
        <w:t xml:space="preserve">If approved, the </w:t>
      </w:r>
      <w:r w:rsidR="00877AA9">
        <w:t xml:space="preserve">payment data </w:t>
      </w:r>
      <w:r>
        <w:t xml:space="preserve">on the original form is </w:t>
      </w:r>
      <w:r w:rsidR="00FB6FAA">
        <w:t>shredded</w:t>
      </w:r>
      <w:r>
        <w:t>.</w:t>
      </w:r>
      <w:r w:rsidR="00FB6FAA">
        <w:t xml:space="preserve">  If an agency has a business need to retain information on an order form, the payment information section must be separate from the other information on the form so that it can be detached and </w:t>
      </w:r>
      <w:r w:rsidR="00C843BA">
        <w:t>appropriately destroyed</w:t>
      </w:r>
      <w:r w:rsidR="00FB6FAA">
        <w:t xml:space="preserve"> upon payment processing</w:t>
      </w:r>
      <w:r w:rsidR="006E02DD">
        <w:t>; or</w:t>
      </w:r>
    </w:p>
    <w:p w14:paraId="712F3D47" w14:textId="32F451DA" w:rsidR="008F6BF6" w:rsidRDefault="008F6BF6" w:rsidP="008F6BF6">
      <w:pPr>
        <w:pStyle w:val="NoSpacing"/>
        <w:numPr>
          <w:ilvl w:val="2"/>
          <w:numId w:val="6"/>
        </w:numPr>
      </w:pPr>
      <w:r>
        <w:t xml:space="preserve">If declined, that transaction and all the backup associated with the </w:t>
      </w:r>
      <w:r w:rsidR="00877AA9">
        <w:t xml:space="preserve">transaction </w:t>
      </w:r>
      <w:r>
        <w:t xml:space="preserve">is removed from the batch and stored </w:t>
      </w:r>
      <w:r w:rsidR="00877AA9">
        <w:t>in a secured location</w:t>
      </w:r>
      <w:r>
        <w:t xml:space="preserve"> while the issue is resolved.  Once resolve</w:t>
      </w:r>
      <w:r w:rsidR="00096F60">
        <w:t>d,</w:t>
      </w:r>
      <w:r>
        <w:t xml:space="preserve"> the previous instructions for an approved transaction apply.</w:t>
      </w:r>
    </w:p>
    <w:p w14:paraId="343BD758" w14:textId="70D05A1D" w:rsidR="00A70581" w:rsidRPr="008F6BF6" w:rsidRDefault="008F6BF6" w:rsidP="008F6BF6">
      <w:pPr>
        <w:pStyle w:val="NoSpacing"/>
        <w:numPr>
          <w:ilvl w:val="1"/>
          <w:numId w:val="6"/>
        </w:numPr>
      </w:pPr>
      <w:r>
        <w:t xml:space="preserve">Any uncharged </w:t>
      </w:r>
      <w:r w:rsidR="00877AA9">
        <w:t>transactions</w:t>
      </w:r>
      <w:r>
        <w:t xml:space="preserve"> remaining at the end of the day are </w:t>
      </w:r>
      <w:r w:rsidR="00877AA9">
        <w:t>stored in a secured location</w:t>
      </w:r>
      <w:r>
        <w:t>.</w:t>
      </w:r>
    </w:p>
    <w:p w14:paraId="76C1276D" w14:textId="77777777" w:rsidR="00A70581" w:rsidRPr="009649DA" w:rsidRDefault="00A70581" w:rsidP="00A70581">
      <w:pPr>
        <w:pStyle w:val="Default"/>
        <w:ind w:left="144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B128658" w14:textId="5578B617" w:rsidR="009D4990" w:rsidRPr="009649DA" w:rsidRDefault="009D4990" w:rsidP="009D4990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Fax Order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The </w:t>
      </w:r>
      <w:r w:rsidR="00ED49E0">
        <w:rPr>
          <w:rFonts w:asciiTheme="minorHAnsi" w:hAnsiTheme="minorHAnsi" w:cstheme="minorHAnsi"/>
          <w:b/>
          <w:bCs/>
          <w:color w:val="auto"/>
          <w:sz w:val="22"/>
          <w:szCs w:val="22"/>
        </w:rPr>
        <w:t>division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receives orders via</w:t>
      </w:r>
      <w:r w:rsidR="00D63DE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secure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fax at </w:t>
      </w:r>
      <w:r w:rsidR="00C843BA" w:rsidRPr="00B2719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INSERT </w:t>
      </w:r>
      <w:r w:rsidR="0063715F" w:rsidRPr="00B2719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FAX </w:t>
      </w:r>
      <w:r w:rsidR="00B2719B" w:rsidRPr="00B2719B">
        <w:rPr>
          <w:rFonts w:asciiTheme="minorHAnsi" w:hAnsiTheme="minorHAnsi" w:cstheme="minorHAnsi"/>
          <w:b/>
          <w:bCs/>
          <w:color w:val="FF0000"/>
          <w:sz w:val="22"/>
          <w:szCs w:val="22"/>
        </w:rPr>
        <w:t>NUMBER</w:t>
      </w:r>
    </w:p>
    <w:p w14:paraId="7EA18863" w14:textId="033ABFEA" w:rsidR="008F6BF6" w:rsidRDefault="008F6BF6" w:rsidP="008F6BF6">
      <w:pPr>
        <w:pStyle w:val="ListParagraph"/>
        <w:numPr>
          <w:ilvl w:val="1"/>
          <w:numId w:val="6"/>
        </w:numPr>
        <w:suppressAutoHyphens/>
        <w:spacing w:after="0"/>
      </w:pPr>
      <w:r>
        <w:t xml:space="preserve">Faxes with payment information are immediately removed from the fax machine and distributed to the appropriate </w:t>
      </w:r>
      <w:r w:rsidR="00877AA9">
        <w:t>personnel who is to perform the transaction</w:t>
      </w:r>
      <w:r>
        <w:t>.</w:t>
      </w:r>
    </w:p>
    <w:p w14:paraId="7FE117F8" w14:textId="2714EB0D" w:rsidR="000A694D" w:rsidRDefault="005F1C38" w:rsidP="008F6BF6">
      <w:pPr>
        <w:pStyle w:val="ListParagraph"/>
        <w:numPr>
          <w:ilvl w:val="1"/>
          <w:numId w:val="6"/>
        </w:numPr>
        <w:suppressAutoHyphens/>
        <w:spacing w:after="0"/>
      </w:pPr>
      <w:r>
        <w:t xml:space="preserve"> If faxes are received via a </w:t>
      </w:r>
      <w:r w:rsidR="00043EB9">
        <w:t>fax device</w:t>
      </w:r>
      <w:r>
        <w:t xml:space="preserve">, including multifunction copier, </w:t>
      </w:r>
      <w:r w:rsidR="00E71D51">
        <w:t xml:space="preserve">the division must ensure that the device is not </w:t>
      </w:r>
      <w:r>
        <w:t>storing document information</w:t>
      </w:r>
      <w:r w:rsidR="0012223B">
        <w:t xml:space="preserve"> electronically</w:t>
      </w:r>
      <w:r w:rsidR="00E71D51">
        <w:t>.</w:t>
      </w:r>
    </w:p>
    <w:p w14:paraId="15FA3D1F" w14:textId="77777777" w:rsidR="008F6BF6" w:rsidRDefault="008F6BF6" w:rsidP="008F6BF6">
      <w:pPr>
        <w:pStyle w:val="ListParagraph"/>
        <w:numPr>
          <w:ilvl w:val="1"/>
          <w:numId w:val="6"/>
        </w:numPr>
        <w:suppressAutoHyphens/>
        <w:spacing w:after="0"/>
      </w:pPr>
      <w:r>
        <w:t>Steps 1c and 1d are followed.</w:t>
      </w:r>
    </w:p>
    <w:p w14:paraId="09796060" w14:textId="77777777" w:rsidR="00A70581" w:rsidRPr="009649DA" w:rsidRDefault="00A70581" w:rsidP="00A70581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072EC77" w14:textId="0171D45E" w:rsidR="009D4990" w:rsidRPr="009649DA" w:rsidRDefault="009D4990" w:rsidP="009D4990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Phone Order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The </w:t>
      </w:r>
      <w:r w:rsidR="00ED49E0">
        <w:rPr>
          <w:rFonts w:asciiTheme="minorHAnsi" w:hAnsiTheme="minorHAnsi" w:cstheme="minorHAnsi"/>
          <w:b/>
          <w:bCs/>
          <w:color w:val="auto"/>
          <w:sz w:val="22"/>
          <w:szCs w:val="22"/>
        </w:rPr>
        <w:t>division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will accept </w:t>
      </w:r>
      <w:r w:rsidR="00877AA9">
        <w:rPr>
          <w:rFonts w:asciiTheme="minorHAnsi" w:hAnsiTheme="minorHAnsi" w:cstheme="minorHAnsi"/>
          <w:b/>
          <w:bCs/>
          <w:color w:val="auto"/>
          <w:sz w:val="22"/>
          <w:szCs w:val="22"/>
        </w:rPr>
        <w:t>payments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via phone only to </w:t>
      </w:r>
      <w:r w:rsidR="0063715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INSERT </w:t>
      </w:r>
      <w:r w:rsidR="00B7355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DEDICATED </w:t>
      </w:r>
      <w:r w:rsidR="0063715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PHONE </w:t>
      </w:r>
      <w:r w:rsidR="00B7355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NUMBER</w:t>
      </w:r>
    </w:p>
    <w:p w14:paraId="23E63D71" w14:textId="06ECD4AC" w:rsidR="00A70581" w:rsidRDefault="00877AA9" w:rsidP="00A70581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Payment</w:t>
      </w:r>
      <w:r w:rsidR="00A7058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information </w:t>
      </w:r>
      <w:r w:rsidR="00E1729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should </w:t>
      </w:r>
      <w:r w:rsidR="00A7058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 taken and entered directly into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point of sale and virtual terminals</w:t>
      </w:r>
      <w:r w:rsidR="00A7058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No numbers or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other payment </w:t>
      </w:r>
      <w:r w:rsidR="00A70581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information will be written down.</w:t>
      </w:r>
    </w:p>
    <w:p w14:paraId="164D493D" w14:textId="58CE6013" w:rsidR="00E1729A" w:rsidRPr="009649DA" w:rsidRDefault="00E1729A" w:rsidP="00A70581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If payment information is written</w:t>
      </w:r>
      <w:r w:rsidR="008B4D9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down</w:t>
      </w:r>
      <w:r w:rsidR="009D546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by hand</w:t>
      </w:r>
      <w:r w:rsidR="008B4D96">
        <w:rPr>
          <w:rFonts w:asciiTheme="minorHAnsi" w:hAnsiTheme="minorHAnsi" w:cstheme="minorHAnsi"/>
          <w:bCs/>
          <w:color w:val="auto"/>
          <w:sz w:val="22"/>
          <w:szCs w:val="22"/>
        </w:rPr>
        <w:t>, the same procedure outlined under Mail Order shall be followed as outlined above.</w:t>
      </w:r>
      <w:r w:rsidR="009D546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No payment information shall be recorded or stored electron</w:t>
      </w:r>
      <w:r w:rsidR="00DB6D7A">
        <w:rPr>
          <w:rFonts w:asciiTheme="minorHAnsi" w:hAnsiTheme="minorHAnsi" w:cstheme="minorHAnsi"/>
          <w:bCs/>
          <w:color w:val="auto"/>
          <w:sz w:val="22"/>
          <w:szCs w:val="22"/>
        </w:rPr>
        <w:t>ically after authorization.</w:t>
      </w:r>
    </w:p>
    <w:p w14:paraId="52CFD1F8" w14:textId="665ED22E" w:rsidR="00A70581" w:rsidRPr="009649DA" w:rsidRDefault="00A70581" w:rsidP="00A70581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Confirmation Number will be given to customer once 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>the transaction is processed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9B70099" w14:textId="77777777" w:rsidR="00A70581" w:rsidRPr="009649DA" w:rsidRDefault="00A70581" w:rsidP="00A70581">
      <w:pPr>
        <w:pStyle w:val="Default"/>
        <w:ind w:left="144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C9E9777" w14:textId="21CC0CBA" w:rsidR="00EC15E3" w:rsidRPr="009649DA" w:rsidRDefault="009D4990" w:rsidP="009D4990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Email Order</w:t>
      </w:r>
      <w:r w:rsidR="00D63DEE">
        <w:rPr>
          <w:rFonts w:asciiTheme="minorHAnsi" w:hAnsiTheme="minorHAnsi" w:cstheme="minorHAnsi"/>
          <w:b/>
          <w:bCs/>
          <w:color w:val="auto"/>
          <w:sz w:val="22"/>
          <w:szCs w:val="22"/>
        </w:rPr>
        <w:t>s are Not Permitted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D63DEE" w:rsidRPr="00B2719B">
        <w:rPr>
          <w:rFonts w:asciiTheme="minorHAnsi" w:hAnsiTheme="minorHAnsi" w:cstheme="minorHAnsi"/>
          <w:b/>
          <w:bCs/>
          <w:color w:val="auto"/>
          <w:sz w:val="22"/>
          <w:szCs w:val="22"/>
        </w:rPr>
        <w:t>the division</w:t>
      </w:r>
      <w:r w:rsidR="004E6052" w:rsidRPr="00B271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does not accept </w:t>
      </w:r>
      <w:r w:rsidR="00877AA9">
        <w:rPr>
          <w:rFonts w:asciiTheme="minorHAnsi" w:hAnsiTheme="minorHAnsi" w:cstheme="minorHAnsi"/>
          <w:b/>
          <w:bCs/>
          <w:color w:val="auto"/>
          <w:sz w:val="22"/>
          <w:szCs w:val="22"/>
        </w:rPr>
        <w:t>payments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C1B85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sent in 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via email.</w:t>
      </w:r>
    </w:p>
    <w:p w14:paraId="7B259EAC" w14:textId="0487ECC0" w:rsidR="00EC15E3" w:rsidRPr="009649DA" w:rsidRDefault="00EC15E3" w:rsidP="00EC15E3">
      <w:pPr>
        <w:pStyle w:val="Default"/>
        <w:numPr>
          <w:ilvl w:val="0"/>
          <w:numId w:val="12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The payment will NOT be processed.</w:t>
      </w:r>
    </w:p>
    <w:p w14:paraId="6D4522A5" w14:textId="6FFF6610" w:rsidR="009D4990" w:rsidRPr="009649DA" w:rsidRDefault="00A70581" w:rsidP="00EC15E3">
      <w:pPr>
        <w:pStyle w:val="Default"/>
        <w:numPr>
          <w:ilvl w:val="0"/>
          <w:numId w:val="12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If 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>payment data</w:t>
      </w:r>
      <w:r w:rsidR="00877AA9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>is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received via email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 response will be sent to the customer</w:t>
      </w:r>
      <w:r w:rsidR="00EC15E3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 The response will be a separate email – not a response to the original email, 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indicating the policy and procedure for sending 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>payment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information.</w:t>
      </w:r>
    </w:p>
    <w:p w14:paraId="104EFF04" w14:textId="46FDCE48" w:rsidR="00EC15E3" w:rsidRPr="009649DA" w:rsidRDefault="00EC15E3" w:rsidP="00EC15E3">
      <w:pPr>
        <w:pStyle w:val="Default"/>
        <w:numPr>
          <w:ilvl w:val="0"/>
          <w:numId w:val="12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The </w:t>
      </w:r>
      <w:r w:rsidR="00877AA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original 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email will be permanently deleted from email inbox and trash</w:t>
      </w:r>
      <w:r w:rsidR="00096F6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folder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19A05A9" w14:textId="77777777" w:rsidR="00EC15E3" w:rsidRPr="009649DA" w:rsidRDefault="00EC15E3" w:rsidP="006E5BC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22A9909" w14:textId="3219FE60" w:rsidR="00A70581" w:rsidRPr="009649DA" w:rsidRDefault="009D4990" w:rsidP="00A70581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In Person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The </w:t>
      </w:r>
      <w:r w:rsidR="00ED49E0">
        <w:rPr>
          <w:rFonts w:asciiTheme="minorHAnsi" w:hAnsiTheme="minorHAnsi" w:cstheme="minorHAnsi"/>
          <w:b/>
          <w:bCs/>
          <w:color w:val="auto"/>
          <w:sz w:val="22"/>
          <w:szCs w:val="22"/>
        </w:rPr>
        <w:t>division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accepts payment</w:t>
      </w:r>
      <w:r w:rsidR="00877AA9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 person at </w:t>
      </w:r>
      <w:r w:rsidR="00096F6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INSERT </w:t>
      </w:r>
      <w:r w:rsidR="00B2719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ADDRESS</w:t>
      </w:r>
      <w:r w:rsidR="00096F60">
        <w:rPr>
          <w:rFonts w:asciiTheme="minorHAnsi" w:hAnsiTheme="minorHAnsi" w:cstheme="minorHAnsi"/>
          <w:b/>
          <w:bCs/>
          <w:color w:val="FF0000"/>
          <w:sz w:val="22"/>
          <w:szCs w:val="22"/>
        </w:rPr>
        <w:t>(</w:t>
      </w:r>
      <w:r w:rsidR="00B2719B">
        <w:rPr>
          <w:rFonts w:asciiTheme="minorHAnsi" w:hAnsiTheme="minorHAnsi" w:cstheme="minorHAnsi"/>
          <w:b/>
          <w:bCs/>
          <w:color w:val="FF0000"/>
          <w:sz w:val="22"/>
          <w:szCs w:val="22"/>
        </w:rPr>
        <w:t>E</w:t>
      </w:r>
      <w:r w:rsidR="00096F60">
        <w:rPr>
          <w:rFonts w:asciiTheme="minorHAnsi" w:hAnsiTheme="minorHAnsi" w:cstheme="minorHAnsi"/>
          <w:b/>
          <w:bCs/>
          <w:color w:val="FF0000"/>
          <w:sz w:val="22"/>
          <w:szCs w:val="22"/>
        </w:rPr>
        <w:t>S)</w:t>
      </w:r>
      <w:r w:rsidR="00A70581"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73DB60E" w14:textId="77777777" w:rsidR="00A70581" w:rsidRPr="009649DA" w:rsidRDefault="00A70581" w:rsidP="00A70581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649DA">
        <w:rPr>
          <w:rFonts w:cstheme="minorHAnsi"/>
          <w:bCs/>
        </w:rPr>
        <w:t>Request card from cardholder for processing.  Ensure card is signed, if not, request ID.</w:t>
      </w:r>
    </w:p>
    <w:p w14:paraId="657DEB02" w14:textId="6A82C64C" w:rsidR="00A70581" w:rsidRPr="009649DA" w:rsidRDefault="00A70581" w:rsidP="00A70581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649DA">
        <w:rPr>
          <w:rFonts w:cstheme="minorHAnsi"/>
          <w:bCs/>
        </w:rPr>
        <w:t xml:space="preserve">Process transaction via </w:t>
      </w:r>
      <w:proofErr w:type="gramStart"/>
      <w:r w:rsidR="007E07B4">
        <w:rPr>
          <w:rFonts w:cstheme="minorHAnsi"/>
          <w:bCs/>
        </w:rPr>
        <w:t>point of sale</w:t>
      </w:r>
      <w:proofErr w:type="gramEnd"/>
      <w:r w:rsidR="007E07B4">
        <w:rPr>
          <w:rFonts w:cstheme="minorHAnsi"/>
          <w:bCs/>
        </w:rPr>
        <w:t xml:space="preserve"> </w:t>
      </w:r>
      <w:r w:rsidRPr="009649DA">
        <w:rPr>
          <w:rFonts w:cstheme="minorHAnsi"/>
          <w:bCs/>
        </w:rPr>
        <w:t>terminal</w:t>
      </w:r>
      <w:r w:rsidR="00D63DEE">
        <w:rPr>
          <w:rFonts w:cstheme="minorHAnsi"/>
          <w:bCs/>
        </w:rPr>
        <w:t>, kiosk or virtual terminal</w:t>
      </w:r>
      <w:r w:rsidRPr="009649DA">
        <w:rPr>
          <w:rFonts w:cstheme="minorHAnsi"/>
          <w:bCs/>
        </w:rPr>
        <w:t>.</w:t>
      </w:r>
    </w:p>
    <w:p w14:paraId="2AADA736" w14:textId="27A090DB" w:rsidR="005A5A27" w:rsidRPr="009649DA" w:rsidRDefault="00A70581" w:rsidP="00A70581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649DA">
        <w:rPr>
          <w:rFonts w:cstheme="minorHAnsi"/>
          <w:bCs/>
        </w:rPr>
        <w:t>Have customer sign merchant copy/receipt.  Verify signature matches back of card.</w:t>
      </w:r>
    </w:p>
    <w:p w14:paraId="62F48347" w14:textId="77777777" w:rsidR="00FA363B" w:rsidRPr="009649DA" w:rsidRDefault="00A70581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9649DA">
        <w:rPr>
          <w:rFonts w:cstheme="minorHAnsi"/>
          <w:bCs/>
        </w:rPr>
        <w:t>Give card and receipt to customer.</w:t>
      </w:r>
    </w:p>
    <w:p w14:paraId="595D31A1" w14:textId="55E1E25F" w:rsidR="00FA363B" w:rsidRPr="009649DA" w:rsidRDefault="00FA363B" w:rsidP="00FA363B">
      <w:pPr>
        <w:pStyle w:val="Default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49DA">
        <w:rPr>
          <w:rFonts w:asciiTheme="minorHAnsi" w:hAnsiTheme="minorHAnsi"/>
          <w:b/>
          <w:bCs/>
          <w:color w:val="auto"/>
          <w:sz w:val="22"/>
          <w:szCs w:val="22"/>
        </w:rPr>
        <w:t>Online Orders</w:t>
      </w:r>
      <w:r w:rsidRPr="009649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745CA79" w14:textId="70BF9A3D" w:rsidR="00FA363B" w:rsidRPr="009649DA" w:rsidRDefault="00FA363B" w:rsidP="006E5BCB">
      <w:pPr>
        <w:pStyle w:val="Default"/>
        <w:numPr>
          <w:ilvl w:val="1"/>
          <w:numId w:val="6"/>
        </w:numPr>
        <w:ind w:left="14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Online orders are taken via the </w:t>
      </w:r>
      <w:r w:rsidR="00190C62">
        <w:rPr>
          <w:rFonts w:asciiTheme="minorHAnsi" w:hAnsiTheme="minorHAnsi" w:cstheme="minorHAnsi"/>
          <w:bCs/>
          <w:color w:val="auto"/>
          <w:sz w:val="22"/>
          <w:szCs w:val="22"/>
        </w:rPr>
        <w:t>d</w:t>
      </w:r>
      <w:r w:rsidR="00ED49E0">
        <w:rPr>
          <w:rFonts w:asciiTheme="minorHAnsi" w:hAnsiTheme="minorHAnsi" w:cstheme="minorHAnsi"/>
          <w:bCs/>
          <w:color w:val="auto"/>
          <w:sz w:val="22"/>
          <w:szCs w:val="22"/>
        </w:rPr>
        <w:t>ivision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’s </w:t>
      </w:r>
      <w:r w:rsidR="008C1B85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online solution 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at </w:t>
      </w:r>
      <w:r w:rsidR="00B2719B" w:rsidRPr="00B2719B">
        <w:rPr>
          <w:rFonts w:asciiTheme="minorHAnsi" w:hAnsiTheme="minorHAnsi" w:cstheme="minorHAnsi"/>
          <w:b/>
          <w:color w:val="FF0000"/>
          <w:sz w:val="22"/>
          <w:szCs w:val="22"/>
        </w:rPr>
        <w:t>INSERT URL</w:t>
      </w:r>
      <w:r w:rsidR="00B2719B" w:rsidRPr="00B2719B">
        <w:rPr>
          <w:rFonts w:asciiTheme="minorHAnsi" w:hAnsiTheme="minorHAnsi" w:cstheme="minorHAnsi"/>
          <w:bCs/>
          <w:color w:val="FF0000"/>
          <w:sz w:val="22"/>
          <w:szCs w:val="22"/>
        </w:rPr>
        <w:t>(s)</w:t>
      </w:r>
      <w:r w:rsidRPr="009649D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7B756DC1" w14:textId="780798B0" w:rsidR="00FA363B" w:rsidRDefault="00096F60" w:rsidP="006E5BCB">
      <w:pPr>
        <w:pStyle w:val="Default"/>
        <w:numPr>
          <w:ilvl w:val="1"/>
          <w:numId w:val="6"/>
        </w:numPr>
        <w:ind w:left="1440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Only</w:t>
      </w:r>
      <w:r w:rsidR="00FA363B" w:rsidRPr="009649D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individuals with authorized access to </w:t>
      </w:r>
      <w:r w:rsidR="00190C62" w:rsidRPr="00B2719B">
        <w:rPr>
          <w:rFonts w:asciiTheme="minorHAnsi" w:hAnsiTheme="minorHAnsi" w:cstheme="minorHAnsi"/>
          <w:color w:val="auto"/>
          <w:sz w:val="22"/>
          <w:szCs w:val="22"/>
        </w:rPr>
        <w:t>the online system</w:t>
      </w:r>
      <w:r w:rsidR="00190C62" w:rsidRPr="00B271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363B" w:rsidRPr="009649DA">
        <w:rPr>
          <w:rFonts w:asciiTheme="minorHAnsi" w:hAnsiTheme="minorHAnsi" w:cstheme="minorHAnsi"/>
          <w:bCs/>
          <w:color w:val="auto"/>
          <w:sz w:val="22"/>
          <w:szCs w:val="22"/>
        </w:rPr>
        <w:t>will fulfill orders on a daily basis.</w:t>
      </w:r>
    </w:p>
    <w:p w14:paraId="2304E8D5" w14:textId="77777777" w:rsidR="00352030" w:rsidRPr="009649DA" w:rsidRDefault="00352030" w:rsidP="000524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650BA6" w14:textId="3F63292C" w:rsidR="00B56D10" w:rsidRPr="009649DA" w:rsidRDefault="00094E65" w:rsidP="006E5BCB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649DA">
        <w:rPr>
          <w:rFonts w:cstheme="minorHAnsi"/>
          <w:b/>
          <w:bCs/>
          <w:u w:val="single"/>
        </w:rPr>
        <w:t>Refund Procedures</w:t>
      </w:r>
      <w:r w:rsidRPr="00542544">
        <w:rPr>
          <w:rFonts w:cstheme="minorHAnsi"/>
          <w:b/>
          <w:bCs/>
        </w:rPr>
        <w:t xml:space="preserve">: </w:t>
      </w:r>
      <w:r w:rsidR="00251E21" w:rsidRPr="009649DA">
        <w:rPr>
          <w:rFonts w:eastAsia="Times New Roman" w:cstheme="minorHAnsi"/>
        </w:rPr>
        <w:t xml:space="preserve"> Clear disclosure of return</w:t>
      </w:r>
      <w:r w:rsidR="008C1B85" w:rsidRPr="009649DA">
        <w:rPr>
          <w:rFonts w:eastAsia="Times New Roman" w:cstheme="minorHAnsi"/>
        </w:rPr>
        <w:t>,</w:t>
      </w:r>
      <w:r w:rsidR="00251E21" w:rsidRPr="009649DA">
        <w:rPr>
          <w:rFonts w:eastAsia="Times New Roman" w:cstheme="minorHAnsi"/>
        </w:rPr>
        <w:t xml:space="preserve"> refund</w:t>
      </w:r>
      <w:r w:rsidR="008C1B85" w:rsidRPr="009649DA">
        <w:rPr>
          <w:rFonts w:eastAsia="Times New Roman" w:cstheme="minorHAnsi"/>
        </w:rPr>
        <w:t>,</w:t>
      </w:r>
      <w:r w:rsidR="00251E21" w:rsidRPr="009649DA">
        <w:rPr>
          <w:rFonts w:eastAsia="Times New Roman" w:cstheme="minorHAnsi"/>
        </w:rPr>
        <w:t xml:space="preserve"> </w:t>
      </w:r>
      <w:r w:rsidR="008C1B85" w:rsidRPr="009649DA">
        <w:rPr>
          <w:rFonts w:eastAsia="Times New Roman" w:cstheme="minorHAnsi"/>
        </w:rPr>
        <w:t>and</w:t>
      </w:r>
      <w:r w:rsidR="00251E21" w:rsidRPr="009649DA">
        <w:rPr>
          <w:rFonts w:eastAsia="Times New Roman" w:cstheme="minorHAnsi"/>
        </w:rPr>
        <w:t xml:space="preserve"> cancellation policies can help to prevent potential </w:t>
      </w:r>
      <w:r w:rsidR="00BF5EC5">
        <w:rPr>
          <w:rFonts w:eastAsia="Times New Roman" w:cstheme="minorHAnsi"/>
        </w:rPr>
        <w:t xml:space="preserve">customer </w:t>
      </w:r>
      <w:r w:rsidR="00251E21" w:rsidRPr="009649DA">
        <w:rPr>
          <w:rFonts w:eastAsia="Times New Roman" w:cstheme="minorHAnsi"/>
        </w:rPr>
        <w:t>disputes</w:t>
      </w:r>
      <w:r w:rsidR="00BF5EC5">
        <w:rPr>
          <w:rFonts w:eastAsia="Times New Roman" w:cstheme="minorHAnsi"/>
        </w:rPr>
        <w:t xml:space="preserve"> and</w:t>
      </w:r>
      <w:r w:rsidR="00190C62">
        <w:rPr>
          <w:rFonts w:eastAsia="Times New Roman" w:cstheme="minorHAnsi"/>
        </w:rPr>
        <w:t xml:space="preserve"> </w:t>
      </w:r>
      <w:r w:rsidR="00251E21" w:rsidRPr="009649DA">
        <w:rPr>
          <w:rFonts w:eastAsia="Times New Roman" w:cstheme="minorHAnsi"/>
        </w:rPr>
        <w:t>chargebacks.</w:t>
      </w:r>
      <w:r w:rsidR="00190C62">
        <w:rPr>
          <w:rFonts w:eastAsia="Times New Roman" w:cstheme="minorHAnsi"/>
        </w:rPr>
        <w:t xml:space="preserve"> </w:t>
      </w:r>
      <w:r w:rsidR="00251E21" w:rsidRPr="009649DA">
        <w:rPr>
          <w:rFonts w:eastAsia="Times New Roman" w:cstheme="minorHAnsi"/>
        </w:rPr>
        <w:t xml:space="preserve"> </w:t>
      </w:r>
      <w:r w:rsidR="000153E9">
        <w:rPr>
          <w:rFonts w:eastAsia="Times New Roman" w:cstheme="minorHAnsi"/>
        </w:rPr>
        <w:t>Card brands</w:t>
      </w:r>
      <w:r w:rsidR="00251E21" w:rsidRPr="009649DA">
        <w:rPr>
          <w:rFonts w:eastAsia="Times New Roman" w:cstheme="minorHAnsi"/>
        </w:rPr>
        <w:t xml:space="preserve"> will support refund policies provided they are clearly disclosed to cardholders. </w:t>
      </w:r>
      <w:r w:rsidR="008C1B85" w:rsidRPr="009649DA">
        <w:rPr>
          <w:rFonts w:eastAsia="Times New Roman" w:cstheme="minorHAnsi"/>
        </w:rPr>
        <w:t xml:space="preserve"> </w:t>
      </w:r>
      <w:r w:rsidR="00ED49E0">
        <w:rPr>
          <w:rFonts w:eastAsia="Times New Roman" w:cstheme="minorHAnsi"/>
        </w:rPr>
        <w:t>Division</w:t>
      </w:r>
      <w:r w:rsidR="008C1B85" w:rsidRPr="009649DA">
        <w:rPr>
          <w:rFonts w:eastAsia="Times New Roman" w:cstheme="minorHAnsi"/>
        </w:rPr>
        <w:t>s using</w:t>
      </w:r>
      <w:r w:rsidR="00251E21" w:rsidRPr="009649DA">
        <w:rPr>
          <w:rFonts w:eastAsia="Times New Roman" w:cstheme="minorHAnsi"/>
        </w:rPr>
        <w:t xml:space="preserve"> </w:t>
      </w:r>
      <w:r w:rsidR="00190C62">
        <w:rPr>
          <w:rFonts w:eastAsia="Times New Roman" w:cstheme="minorHAnsi"/>
        </w:rPr>
        <w:t xml:space="preserve">various </w:t>
      </w:r>
      <w:r w:rsidR="00C14F7E" w:rsidRPr="00B2719B">
        <w:rPr>
          <w:rFonts w:cstheme="minorHAnsi"/>
        </w:rPr>
        <w:t>payment systems</w:t>
      </w:r>
      <w:r w:rsidR="00C14F7E" w:rsidRPr="00B2719B">
        <w:rPr>
          <w:rFonts w:cstheme="minorHAnsi"/>
          <w:b/>
          <w:bCs/>
        </w:rPr>
        <w:t xml:space="preserve"> </w:t>
      </w:r>
      <w:r w:rsidR="00251E21" w:rsidRPr="009649DA">
        <w:rPr>
          <w:rFonts w:eastAsia="Times New Roman" w:cstheme="minorHAnsi"/>
        </w:rPr>
        <w:t>must communicate refund/return/cancellation polic</w:t>
      </w:r>
      <w:r w:rsidR="00190C62">
        <w:rPr>
          <w:rFonts w:eastAsia="Times New Roman" w:cstheme="minorHAnsi"/>
        </w:rPr>
        <w:t>ies to their customers including offering disclosures on their website or available in person</w:t>
      </w:r>
      <w:r w:rsidR="00251E21" w:rsidRPr="009649DA">
        <w:rPr>
          <w:rFonts w:eastAsia="Times New Roman" w:cstheme="minorHAnsi"/>
        </w:rPr>
        <w:t>.</w:t>
      </w:r>
    </w:p>
    <w:p w14:paraId="557C91BB" w14:textId="77777777" w:rsidR="00094E65" w:rsidRPr="009649DA" w:rsidRDefault="00417E59" w:rsidP="006E5BCB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649DA">
        <w:rPr>
          <w:rFonts w:eastAsia="Times New Roman" w:cstheme="minorHAnsi"/>
        </w:rPr>
        <w:t xml:space="preserve"> </w:t>
      </w:r>
    </w:p>
    <w:p w14:paraId="26EF9624" w14:textId="584DE551" w:rsidR="00B56D10" w:rsidRPr="009649DA" w:rsidRDefault="00094E65" w:rsidP="006E5BCB">
      <w:pPr>
        <w:pStyle w:val="Default"/>
        <w:numPr>
          <w:ilvl w:val="0"/>
          <w:numId w:val="13"/>
        </w:numPr>
        <w:ind w:left="0" w:firstLine="4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sz w:val="22"/>
          <w:szCs w:val="22"/>
        </w:rPr>
        <w:t xml:space="preserve">The </w:t>
      </w:r>
      <w:r w:rsidR="00BF5EC5">
        <w:rPr>
          <w:rFonts w:asciiTheme="minorHAnsi" w:hAnsiTheme="minorHAnsi" w:cstheme="minorHAnsi"/>
          <w:sz w:val="22"/>
          <w:szCs w:val="22"/>
        </w:rPr>
        <w:t>D</w:t>
      </w:r>
      <w:r w:rsidR="00ED49E0">
        <w:rPr>
          <w:rFonts w:asciiTheme="minorHAnsi" w:hAnsiTheme="minorHAnsi" w:cstheme="minorHAnsi"/>
          <w:sz w:val="22"/>
          <w:szCs w:val="22"/>
        </w:rPr>
        <w:t>ivision</w:t>
      </w:r>
      <w:r w:rsidRPr="009649DA">
        <w:rPr>
          <w:rFonts w:asciiTheme="minorHAnsi" w:hAnsiTheme="minorHAnsi" w:cstheme="minorHAnsi"/>
          <w:sz w:val="22"/>
          <w:szCs w:val="22"/>
        </w:rPr>
        <w:t xml:space="preserve">’s refund policy </w:t>
      </w:r>
      <w:r w:rsidR="00190C62">
        <w:rPr>
          <w:rFonts w:asciiTheme="minorHAnsi" w:hAnsiTheme="minorHAnsi" w:cstheme="minorHAnsi"/>
          <w:sz w:val="22"/>
          <w:szCs w:val="22"/>
        </w:rPr>
        <w:t>can be located at INSERT LINK</w:t>
      </w:r>
      <w:r w:rsidR="007256D5" w:rsidRPr="009649DA" w:rsidDel="00B56D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5FA96F" w14:textId="2CC2C286" w:rsidR="00140AF5" w:rsidRPr="009649DA" w:rsidRDefault="00094E65" w:rsidP="006E5BCB">
      <w:pPr>
        <w:pStyle w:val="Default"/>
        <w:numPr>
          <w:ilvl w:val="0"/>
          <w:numId w:val="13"/>
        </w:numPr>
        <w:ind w:hanging="27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49DA">
        <w:rPr>
          <w:rFonts w:asciiTheme="minorHAnsi" w:hAnsiTheme="minorHAnsi" w:cstheme="minorHAnsi"/>
          <w:color w:val="auto"/>
          <w:sz w:val="22"/>
          <w:szCs w:val="22"/>
        </w:rPr>
        <w:t>Procedures to refund a credi</w:t>
      </w:r>
      <w:r w:rsidR="00FC0B74" w:rsidRPr="009649DA">
        <w:rPr>
          <w:rFonts w:asciiTheme="minorHAnsi" w:hAnsiTheme="minorHAnsi" w:cstheme="minorHAnsi"/>
          <w:color w:val="auto"/>
          <w:sz w:val="22"/>
          <w:szCs w:val="22"/>
        </w:rPr>
        <w:t>t card transaction a</w:t>
      </w:r>
      <w:r w:rsidR="008C1B85" w:rsidRPr="009649DA">
        <w:rPr>
          <w:rFonts w:asciiTheme="minorHAnsi" w:hAnsiTheme="minorHAnsi" w:cstheme="minorHAnsi"/>
          <w:color w:val="auto"/>
          <w:sz w:val="22"/>
          <w:szCs w:val="22"/>
        </w:rPr>
        <w:t xml:space="preserve">re included in the user manual for the </w:t>
      </w:r>
      <w:r w:rsidR="00FC0B74" w:rsidRPr="009649DA">
        <w:rPr>
          <w:rFonts w:asciiTheme="minorHAnsi" w:hAnsiTheme="minorHAnsi" w:cstheme="minorHAnsi"/>
          <w:color w:val="auto"/>
          <w:sz w:val="22"/>
          <w:szCs w:val="22"/>
        </w:rPr>
        <w:t>POS devices and</w:t>
      </w:r>
      <w:r w:rsidR="008C1B85" w:rsidRPr="009649D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C14F7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INSERT NAME OF SYSTEM(S)</w:t>
      </w:r>
      <w:r w:rsidR="00190C6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(if applicable)</w:t>
      </w:r>
      <w:r w:rsidR="00FC0B74" w:rsidRPr="009649D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F3F6AC" w14:textId="77777777" w:rsidR="00FC0B74" w:rsidRPr="009649DA" w:rsidRDefault="00FC0B74" w:rsidP="006E5B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4AD4D1" w14:textId="1749AF68" w:rsidR="005D020F" w:rsidRPr="009649DA" w:rsidRDefault="005D020F" w:rsidP="006E5B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"/>
        </w:rPr>
      </w:pPr>
      <w:r w:rsidRPr="00C037B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Incident Response Procedures</w:t>
      </w:r>
      <w:r w:rsidRPr="009649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 </w:t>
      </w:r>
      <w:r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An incident is defined as a suspected or confirmed data compromise in which there is a potential impact </w:t>
      </w:r>
      <w:r w:rsidR="00190C62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to </w:t>
      </w:r>
      <w:r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the confidentiality or integrity of payment data.  A data compromise is any situation where there has been unauthorized access to a system or network where prohibited, </w:t>
      </w:r>
      <w:proofErr w:type="gramStart"/>
      <w:r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>confidential</w:t>
      </w:r>
      <w:proofErr w:type="gramEnd"/>
      <w:r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or restricted payment data is collected, processed, stored</w:t>
      </w:r>
      <w:r w:rsidR="008C1B85"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>,</w:t>
      </w:r>
      <w:r w:rsidRPr="009649DA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 or transmitted.  In the event of a suspected or confirmed incident:</w:t>
      </w:r>
    </w:p>
    <w:p w14:paraId="13D30F7A" w14:textId="77777777" w:rsidR="00B56D10" w:rsidRPr="009649DA" w:rsidRDefault="00B56D10" w:rsidP="006E5BCB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305671E" w14:textId="177A1284" w:rsidR="005D020F" w:rsidRDefault="005D020F" w:rsidP="00061989">
      <w:pPr>
        <w:numPr>
          <w:ilvl w:val="0"/>
          <w:numId w:val="19"/>
        </w:numPr>
        <w:shd w:val="clear" w:color="auto" w:fill="FFFFFF"/>
        <w:spacing w:after="0" w:line="240" w:lineRule="auto"/>
        <w:ind w:left="720" w:hanging="270"/>
        <w:jc w:val="both"/>
        <w:rPr>
          <w:rFonts w:cstheme="minorHAnsi"/>
          <w:lang w:val="en"/>
        </w:rPr>
      </w:pPr>
      <w:r w:rsidRPr="009649DA">
        <w:rPr>
          <w:rFonts w:cstheme="minorHAnsi"/>
          <w:lang w:val="en"/>
        </w:rPr>
        <w:t xml:space="preserve">Call </w:t>
      </w:r>
      <w:r w:rsidR="00C14F7E">
        <w:rPr>
          <w:rFonts w:cstheme="minorHAnsi"/>
          <w:lang w:val="en"/>
        </w:rPr>
        <w:t>the DTI</w:t>
      </w:r>
      <w:r w:rsidRPr="009649DA">
        <w:rPr>
          <w:rFonts w:cstheme="minorHAnsi"/>
          <w:lang w:val="en"/>
        </w:rPr>
        <w:t xml:space="preserve"> Help Desk at </w:t>
      </w:r>
      <w:r w:rsidR="00FC6ED1" w:rsidRPr="00B2719B">
        <w:rPr>
          <w:rFonts w:cstheme="minorHAnsi"/>
          <w:bCs/>
          <w:lang w:val="en"/>
        </w:rPr>
        <w:t>302-739-9560</w:t>
      </w:r>
      <w:r w:rsidR="00C14F7E" w:rsidRPr="00B2719B">
        <w:rPr>
          <w:rFonts w:cstheme="minorHAnsi"/>
          <w:bCs/>
          <w:lang w:val="en"/>
        </w:rPr>
        <w:t xml:space="preserve"> and contact OST at</w:t>
      </w:r>
      <w:r w:rsidR="00C14F7E" w:rsidRPr="00B2719B">
        <w:rPr>
          <w:rFonts w:cstheme="minorHAnsi"/>
          <w:b/>
          <w:lang w:val="en"/>
        </w:rPr>
        <w:t xml:space="preserve"> </w:t>
      </w:r>
      <w:hyperlink r:id="rId14" w:history="1">
        <w:r w:rsidR="00C14F7E" w:rsidRPr="0052763B">
          <w:rPr>
            <w:rStyle w:val="Hyperlink"/>
            <w:rFonts w:cstheme="minorHAnsi"/>
            <w:b/>
            <w:lang w:val="en"/>
          </w:rPr>
          <w:t>pci_compliance@delaware.gov</w:t>
        </w:r>
      </w:hyperlink>
      <w:r w:rsidRPr="009649DA">
        <w:rPr>
          <w:rFonts w:cstheme="minorHAnsi"/>
          <w:lang w:val="en"/>
        </w:rPr>
        <w:t>.</w:t>
      </w:r>
    </w:p>
    <w:p w14:paraId="2151B70A" w14:textId="5D876387" w:rsidR="008C1B85" w:rsidRPr="009649DA" w:rsidRDefault="00C14F7E" w:rsidP="00B2719B">
      <w:pPr>
        <w:numPr>
          <w:ilvl w:val="0"/>
          <w:numId w:val="19"/>
        </w:numPr>
        <w:shd w:val="clear" w:color="auto" w:fill="FFFFFF"/>
        <w:spacing w:after="0" w:line="240" w:lineRule="auto"/>
        <w:ind w:left="720" w:hanging="270"/>
        <w:jc w:val="both"/>
        <w:rPr>
          <w:rFonts w:cstheme="minorHAnsi"/>
          <w:lang w:val="en"/>
        </w:rPr>
      </w:pPr>
      <w:r w:rsidRPr="00C14F7E">
        <w:rPr>
          <w:rFonts w:cstheme="minorHAnsi"/>
          <w:lang w:val="en"/>
        </w:rPr>
        <w:t xml:space="preserve">Do not turn off the compromised </w:t>
      </w:r>
      <w:r>
        <w:rPr>
          <w:rFonts w:cstheme="minorHAnsi"/>
          <w:lang w:val="en"/>
        </w:rPr>
        <w:t xml:space="preserve">point of sale </w:t>
      </w:r>
      <w:r w:rsidRPr="00C14F7E">
        <w:rPr>
          <w:rFonts w:cstheme="minorHAnsi"/>
          <w:lang w:val="en"/>
        </w:rPr>
        <w:t>machine</w:t>
      </w:r>
      <w:r>
        <w:rPr>
          <w:rFonts w:cstheme="minorHAnsi"/>
          <w:lang w:val="en"/>
        </w:rPr>
        <w:t>(s)</w:t>
      </w:r>
      <w:r w:rsidR="00BF5EC5">
        <w:rPr>
          <w:rFonts w:cstheme="minorHAnsi"/>
          <w:lang w:val="en"/>
        </w:rPr>
        <w:t xml:space="preserve"> or computer(s) processing payments</w:t>
      </w:r>
      <w:r w:rsidRPr="00C14F7E">
        <w:rPr>
          <w:rFonts w:cstheme="minorHAnsi"/>
          <w:lang w:val="en"/>
        </w:rPr>
        <w:t>.</w:t>
      </w:r>
      <w:r w:rsidR="00BF5EC5">
        <w:rPr>
          <w:rFonts w:cstheme="minorHAnsi"/>
          <w:lang w:val="en"/>
        </w:rPr>
        <w:t xml:space="preserve">  </w:t>
      </w:r>
      <w:r w:rsidR="008C1B85" w:rsidRPr="009649DA">
        <w:rPr>
          <w:rFonts w:cstheme="minorHAnsi"/>
          <w:lang w:val="en"/>
        </w:rPr>
        <w:t xml:space="preserve">Unplug </w:t>
      </w:r>
      <w:r>
        <w:rPr>
          <w:rFonts w:cstheme="minorHAnsi"/>
          <w:lang w:val="en"/>
        </w:rPr>
        <w:t xml:space="preserve">any and all </w:t>
      </w:r>
      <w:r w:rsidR="008C1B85" w:rsidRPr="009649DA">
        <w:rPr>
          <w:rFonts w:cstheme="minorHAnsi"/>
          <w:lang w:val="en"/>
        </w:rPr>
        <w:t>network</w:t>
      </w:r>
      <w:r>
        <w:rPr>
          <w:rFonts w:cstheme="minorHAnsi"/>
          <w:lang w:val="en"/>
        </w:rPr>
        <w:t xml:space="preserve"> (internet)</w:t>
      </w:r>
      <w:r w:rsidR="008C1B85" w:rsidRPr="009649DA">
        <w:rPr>
          <w:rFonts w:cstheme="minorHAnsi"/>
          <w:lang w:val="en"/>
        </w:rPr>
        <w:t xml:space="preserve"> cable</w:t>
      </w:r>
      <w:r>
        <w:rPr>
          <w:rFonts w:cstheme="minorHAnsi"/>
          <w:lang w:val="en"/>
        </w:rPr>
        <w:t>s connected to point of sale machines</w:t>
      </w:r>
      <w:r w:rsidR="008C1B85" w:rsidRPr="009649DA">
        <w:rPr>
          <w:rFonts w:cstheme="minorHAnsi"/>
          <w:lang w:val="en"/>
        </w:rPr>
        <w:t>.</w:t>
      </w:r>
    </w:p>
    <w:p w14:paraId="56E7C140" w14:textId="2CCA7CB9" w:rsidR="005D020F" w:rsidRPr="009649DA" w:rsidRDefault="005D020F" w:rsidP="00B2719B">
      <w:pPr>
        <w:numPr>
          <w:ilvl w:val="0"/>
          <w:numId w:val="19"/>
        </w:numPr>
        <w:shd w:val="clear" w:color="auto" w:fill="FFFFFF"/>
        <w:spacing w:after="0" w:line="240" w:lineRule="auto"/>
        <w:ind w:left="720" w:hanging="270"/>
        <w:jc w:val="both"/>
        <w:rPr>
          <w:rFonts w:cstheme="minorHAnsi"/>
          <w:lang w:val="en"/>
        </w:rPr>
      </w:pPr>
      <w:r w:rsidRPr="009649DA">
        <w:rPr>
          <w:rFonts w:cstheme="minorHAnsi"/>
          <w:lang w:val="en"/>
        </w:rPr>
        <w:t xml:space="preserve">Do not </w:t>
      </w:r>
      <w:r w:rsidR="00747460">
        <w:rPr>
          <w:rFonts w:cstheme="minorHAnsi"/>
          <w:lang w:val="en"/>
        </w:rPr>
        <w:t>attempt to use</w:t>
      </w:r>
      <w:r w:rsidRPr="009649DA">
        <w:rPr>
          <w:rFonts w:cstheme="minorHAnsi"/>
          <w:lang w:val="en"/>
        </w:rPr>
        <w:t xml:space="preserve"> or </w:t>
      </w:r>
      <w:r w:rsidR="00747460">
        <w:rPr>
          <w:rFonts w:cstheme="minorHAnsi"/>
          <w:lang w:val="en"/>
        </w:rPr>
        <w:t>troubleshoot</w:t>
      </w:r>
      <w:r w:rsidRPr="009649DA">
        <w:rPr>
          <w:rFonts w:cstheme="minorHAnsi"/>
          <w:lang w:val="en"/>
        </w:rPr>
        <w:t xml:space="preserve"> </w:t>
      </w:r>
      <w:r w:rsidR="00747460">
        <w:rPr>
          <w:rFonts w:cstheme="minorHAnsi"/>
          <w:lang w:val="en"/>
        </w:rPr>
        <w:t xml:space="preserve">any of the </w:t>
      </w:r>
      <w:r w:rsidRPr="009649DA">
        <w:rPr>
          <w:rFonts w:cstheme="minorHAnsi"/>
          <w:lang w:val="en"/>
        </w:rPr>
        <w:t>compromised systems.</w:t>
      </w:r>
    </w:p>
    <w:p w14:paraId="1F719BE3" w14:textId="3303CBE6" w:rsidR="005D020F" w:rsidRPr="009649DA" w:rsidRDefault="00747460" w:rsidP="00B2719B">
      <w:pPr>
        <w:numPr>
          <w:ilvl w:val="0"/>
          <w:numId w:val="19"/>
        </w:numPr>
        <w:shd w:val="clear" w:color="auto" w:fill="FFFFFF"/>
        <w:spacing w:after="0" w:line="240" w:lineRule="auto"/>
        <w:ind w:left="720" w:hanging="270"/>
        <w:jc w:val="both"/>
        <w:rPr>
          <w:rFonts w:cstheme="minorHAnsi"/>
          <w:lang w:val="en"/>
        </w:rPr>
      </w:pPr>
      <w:r>
        <w:rPr>
          <w:rFonts w:cstheme="minorHAnsi"/>
          <w:lang w:val="en"/>
        </w:rPr>
        <w:t>Wait</w:t>
      </w:r>
      <w:r w:rsidR="00B56D10" w:rsidRPr="00B2719B">
        <w:rPr>
          <w:rFonts w:cstheme="minorHAnsi"/>
          <w:color w:val="FF0000"/>
          <w:lang w:val="en"/>
        </w:rPr>
        <w:t xml:space="preserve"> </w:t>
      </w:r>
      <w:r w:rsidR="00B56D10" w:rsidRPr="009649DA">
        <w:rPr>
          <w:rFonts w:cstheme="minorHAnsi"/>
          <w:lang w:val="en"/>
        </w:rPr>
        <w:t>for further instructions</w:t>
      </w:r>
      <w:r>
        <w:rPr>
          <w:rFonts w:cstheme="minorHAnsi"/>
          <w:lang w:val="en"/>
        </w:rPr>
        <w:t xml:space="preserve"> from DTI before taking additional steps</w:t>
      </w:r>
      <w:r w:rsidR="00B56D10" w:rsidRPr="009649DA">
        <w:rPr>
          <w:rFonts w:cstheme="minorHAnsi"/>
          <w:lang w:val="en"/>
        </w:rPr>
        <w:t>.</w:t>
      </w:r>
    </w:p>
    <w:p w14:paraId="64761E04" w14:textId="77777777" w:rsidR="00140AF5" w:rsidRPr="009649DA" w:rsidRDefault="00140AF5" w:rsidP="006E5BCB">
      <w:pPr>
        <w:pStyle w:val="Default"/>
        <w:spacing w:after="56"/>
        <w:ind w:left="76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40AF5" w:rsidRPr="009649DA" w:rsidSect="001B2D3C">
      <w:footerReference w:type="default" r:id="rId15"/>
      <w:pgSz w:w="12240" w:h="15840" w:code="1"/>
      <w:pgMar w:top="720" w:right="1138" w:bottom="720" w:left="122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2A6D" w14:textId="77777777" w:rsidR="00DB7464" w:rsidRDefault="00DB7464" w:rsidP="00106107">
      <w:pPr>
        <w:spacing w:after="0" w:line="240" w:lineRule="auto"/>
      </w:pPr>
      <w:r>
        <w:separator/>
      </w:r>
    </w:p>
  </w:endnote>
  <w:endnote w:type="continuationSeparator" w:id="0">
    <w:p w14:paraId="39EB20D7" w14:textId="77777777" w:rsidR="00DB7464" w:rsidRDefault="00DB7464" w:rsidP="0010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906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CAA26" w14:textId="77777777" w:rsidR="0090462A" w:rsidRDefault="009046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83F7B" w14:textId="77777777" w:rsidR="00106107" w:rsidRDefault="00106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1A6A" w14:textId="77777777" w:rsidR="00DB7464" w:rsidRDefault="00DB7464" w:rsidP="00106107">
      <w:pPr>
        <w:spacing w:after="0" w:line="240" w:lineRule="auto"/>
      </w:pPr>
      <w:r>
        <w:separator/>
      </w:r>
    </w:p>
  </w:footnote>
  <w:footnote w:type="continuationSeparator" w:id="0">
    <w:p w14:paraId="15855355" w14:textId="77777777" w:rsidR="00DB7464" w:rsidRDefault="00DB7464" w:rsidP="00106107">
      <w:pPr>
        <w:spacing w:after="0" w:line="240" w:lineRule="auto"/>
      </w:pPr>
      <w:r>
        <w:continuationSeparator/>
      </w:r>
    </w:p>
  </w:footnote>
  <w:footnote w:id="1">
    <w:p w14:paraId="64950C9F" w14:textId="465239A0" w:rsidR="00E33647" w:rsidRDefault="00E336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33647">
          <w:rPr>
            <w:rStyle w:val="Hyperlink"/>
          </w:rPr>
          <w:t>https://www.pcisecuritystandards.org/pci_security/maintaining_payment_security</w:t>
        </w:r>
      </w:hyperlink>
    </w:p>
  </w:footnote>
  <w:footnote w:id="2">
    <w:p w14:paraId="00965A05" w14:textId="1F834F20" w:rsidR="00E33647" w:rsidRDefault="00E336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33647">
          <w:rPr>
            <w:rStyle w:val="Hyperlink"/>
          </w:rPr>
          <w:t>https://www.nacha.org/rules/supplementing-data-security-requirements</w:t>
        </w:r>
      </w:hyperlink>
    </w:p>
  </w:footnote>
  <w:footnote w:id="3">
    <w:p w14:paraId="7A5465CF" w14:textId="7461D177" w:rsidR="00726B0C" w:rsidRDefault="00726B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26B0C">
          <w:rPr>
            <w:rStyle w:val="Hyperlink"/>
          </w:rPr>
          <w:t>https://www.pcisecuritystandards.org/assessors_and_solutions/vpa_agreement?return=%2Fassessors_and_solutions%2Fpayment_applications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88F"/>
    <w:multiLevelType w:val="hybridMultilevel"/>
    <w:tmpl w:val="28D01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CD2"/>
    <w:multiLevelType w:val="multilevel"/>
    <w:tmpl w:val="135C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B4B37"/>
    <w:multiLevelType w:val="hybridMultilevel"/>
    <w:tmpl w:val="245A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0BCD"/>
    <w:multiLevelType w:val="hybridMultilevel"/>
    <w:tmpl w:val="BE78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CA4"/>
    <w:multiLevelType w:val="hybridMultilevel"/>
    <w:tmpl w:val="DBEEC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4FE3"/>
    <w:multiLevelType w:val="hybridMultilevel"/>
    <w:tmpl w:val="DD14C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1FD4"/>
    <w:multiLevelType w:val="hybridMultilevel"/>
    <w:tmpl w:val="4192DC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5751F"/>
    <w:multiLevelType w:val="hybridMultilevel"/>
    <w:tmpl w:val="67EAF6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00CD9"/>
    <w:multiLevelType w:val="hybridMultilevel"/>
    <w:tmpl w:val="222C611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9D94BDA"/>
    <w:multiLevelType w:val="hybridMultilevel"/>
    <w:tmpl w:val="CD2EF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11BF4"/>
    <w:multiLevelType w:val="hybridMultilevel"/>
    <w:tmpl w:val="1D3A8E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82840"/>
    <w:multiLevelType w:val="hybridMultilevel"/>
    <w:tmpl w:val="CDBAE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61AD1"/>
    <w:multiLevelType w:val="hybridMultilevel"/>
    <w:tmpl w:val="CD2EF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579"/>
    <w:multiLevelType w:val="hybridMultilevel"/>
    <w:tmpl w:val="01F0A7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C357D2"/>
    <w:multiLevelType w:val="hybridMultilevel"/>
    <w:tmpl w:val="B114E2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F929FF"/>
    <w:multiLevelType w:val="hybridMultilevel"/>
    <w:tmpl w:val="A35E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F1E03"/>
    <w:multiLevelType w:val="hybridMultilevel"/>
    <w:tmpl w:val="FE5A5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C6B17"/>
    <w:multiLevelType w:val="hybridMultilevel"/>
    <w:tmpl w:val="C90C8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6B5F"/>
    <w:multiLevelType w:val="hybridMultilevel"/>
    <w:tmpl w:val="B314A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716C2"/>
    <w:multiLevelType w:val="hybridMultilevel"/>
    <w:tmpl w:val="2FC2B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E4A89"/>
    <w:multiLevelType w:val="multilevel"/>
    <w:tmpl w:val="6D7EF5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1" w15:restartNumberingAfterBreak="0">
    <w:nsid w:val="6E2D0A17"/>
    <w:multiLevelType w:val="hybridMultilevel"/>
    <w:tmpl w:val="A8D0A2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992041"/>
    <w:multiLevelType w:val="hybridMultilevel"/>
    <w:tmpl w:val="F8300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E29F8"/>
    <w:multiLevelType w:val="multilevel"/>
    <w:tmpl w:val="837E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7"/>
  </w:num>
  <w:num w:numId="5">
    <w:abstractNumId w:val="5"/>
  </w:num>
  <w:num w:numId="6">
    <w:abstractNumId w:val="7"/>
  </w:num>
  <w:num w:numId="7">
    <w:abstractNumId w:val="14"/>
  </w:num>
  <w:num w:numId="8">
    <w:abstractNumId w:val="4"/>
  </w:num>
  <w:num w:numId="9">
    <w:abstractNumId w:val="21"/>
  </w:num>
  <w:num w:numId="10">
    <w:abstractNumId w:val="10"/>
  </w:num>
  <w:num w:numId="11">
    <w:abstractNumId w:val="6"/>
  </w:num>
  <w:num w:numId="12">
    <w:abstractNumId w:val="13"/>
  </w:num>
  <w:num w:numId="13">
    <w:abstractNumId w:val="3"/>
  </w:num>
  <w:num w:numId="14">
    <w:abstractNumId w:val="8"/>
  </w:num>
  <w:num w:numId="15">
    <w:abstractNumId w:val="2"/>
  </w:num>
  <w:num w:numId="16">
    <w:abstractNumId w:val="22"/>
  </w:num>
  <w:num w:numId="17">
    <w:abstractNumId w:val="19"/>
  </w:num>
  <w:num w:numId="18">
    <w:abstractNumId w:val="1"/>
  </w:num>
  <w:num w:numId="19">
    <w:abstractNumId w:val="20"/>
  </w:num>
  <w:num w:numId="20">
    <w:abstractNumId w:val="15"/>
  </w:num>
  <w:num w:numId="21">
    <w:abstractNumId w:val="18"/>
  </w:num>
  <w:num w:numId="22">
    <w:abstractNumId w:val="9"/>
  </w:num>
  <w:num w:numId="23">
    <w:abstractNumId w:val="2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E4"/>
    <w:rsid w:val="0000238D"/>
    <w:rsid w:val="000109C6"/>
    <w:rsid w:val="000153E9"/>
    <w:rsid w:val="00031D42"/>
    <w:rsid w:val="00032531"/>
    <w:rsid w:val="0003537F"/>
    <w:rsid w:val="00043EB9"/>
    <w:rsid w:val="000524E4"/>
    <w:rsid w:val="000548EC"/>
    <w:rsid w:val="00061989"/>
    <w:rsid w:val="0009248B"/>
    <w:rsid w:val="00094E65"/>
    <w:rsid w:val="00096F60"/>
    <w:rsid w:val="000A694D"/>
    <w:rsid w:val="000B5DC5"/>
    <w:rsid w:val="000C205B"/>
    <w:rsid w:val="000D4C79"/>
    <w:rsid w:val="000D65C0"/>
    <w:rsid w:val="00106107"/>
    <w:rsid w:val="001160B8"/>
    <w:rsid w:val="0012223B"/>
    <w:rsid w:val="0013615D"/>
    <w:rsid w:val="00140AF5"/>
    <w:rsid w:val="00147805"/>
    <w:rsid w:val="001767B9"/>
    <w:rsid w:val="001852CB"/>
    <w:rsid w:val="00190C62"/>
    <w:rsid w:val="001A2219"/>
    <w:rsid w:val="001B2D3C"/>
    <w:rsid w:val="001B3E29"/>
    <w:rsid w:val="001C5B17"/>
    <w:rsid w:val="001E41AC"/>
    <w:rsid w:val="001E64DB"/>
    <w:rsid w:val="001E793F"/>
    <w:rsid w:val="002047E5"/>
    <w:rsid w:val="0020513C"/>
    <w:rsid w:val="002131F6"/>
    <w:rsid w:val="00221C5D"/>
    <w:rsid w:val="00237E25"/>
    <w:rsid w:val="00251E21"/>
    <w:rsid w:val="00255208"/>
    <w:rsid w:val="00257EA6"/>
    <w:rsid w:val="00275413"/>
    <w:rsid w:val="00285C04"/>
    <w:rsid w:val="002A232B"/>
    <w:rsid w:val="002B334F"/>
    <w:rsid w:val="002D7C92"/>
    <w:rsid w:val="002E5956"/>
    <w:rsid w:val="002E763E"/>
    <w:rsid w:val="002F2512"/>
    <w:rsid w:val="003163CD"/>
    <w:rsid w:val="00320469"/>
    <w:rsid w:val="00323E3A"/>
    <w:rsid w:val="00327EFF"/>
    <w:rsid w:val="00333D12"/>
    <w:rsid w:val="00352030"/>
    <w:rsid w:val="003567AC"/>
    <w:rsid w:val="003A1D51"/>
    <w:rsid w:val="003B2228"/>
    <w:rsid w:val="003B4ADF"/>
    <w:rsid w:val="003C3D4A"/>
    <w:rsid w:val="003E1862"/>
    <w:rsid w:val="003F1352"/>
    <w:rsid w:val="00417E59"/>
    <w:rsid w:val="00422370"/>
    <w:rsid w:val="0042634D"/>
    <w:rsid w:val="00432576"/>
    <w:rsid w:val="00445D2D"/>
    <w:rsid w:val="004469A7"/>
    <w:rsid w:val="004512C0"/>
    <w:rsid w:val="0045210E"/>
    <w:rsid w:val="0045650B"/>
    <w:rsid w:val="00472607"/>
    <w:rsid w:val="00493F21"/>
    <w:rsid w:val="004B5807"/>
    <w:rsid w:val="004B5AD1"/>
    <w:rsid w:val="004B62F9"/>
    <w:rsid w:val="004C2F1F"/>
    <w:rsid w:val="004E6052"/>
    <w:rsid w:val="004F5C9F"/>
    <w:rsid w:val="00504266"/>
    <w:rsid w:val="00513898"/>
    <w:rsid w:val="00522591"/>
    <w:rsid w:val="00527C69"/>
    <w:rsid w:val="00542544"/>
    <w:rsid w:val="005515A0"/>
    <w:rsid w:val="00562559"/>
    <w:rsid w:val="00567719"/>
    <w:rsid w:val="0057239A"/>
    <w:rsid w:val="005730A8"/>
    <w:rsid w:val="005838F3"/>
    <w:rsid w:val="005862D5"/>
    <w:rsid w:val="00587BAC"/>
    <w:rsid w:val="005905E3"/>
    <w:rsid w:val="005A5A27"/>
    <w:rsid w:val="005C2E44"/>
    <w:rsid w:val="005C5A3E"/>
    <w:rsid w:val="005D020F"/>
    <w:rsid w:val="005F1C38"/>
    <w:rsid w:val="005F5AEC"/>
    <w:rsid w:val="00600EC7"/>
    <w:rsid w:val="0063715F"/>
    <w:rsid w:val="006665F7"/>
    <w:rsid w:val="00680080"/>
    <w:rsid w:val="006950CE"/>
    <w:rsid w:val="006A25D9"/>
    <w:rsid w:val="006D5B66"/>
    <w:rsid w:val="006E02DD"/>
    <w:rsid w:val="006E4960"/>
    <w:rsid w:val="006E5BCB"/>
    <w:rsid w:val="007256D5"/>
    <w:rsid w:val="00726B0C"/>
    <w:rsid w:val="00736411"/>
    <w:rsid w:val="00737558"/>
    <w:rsid w:val="00747460"/>
    <w:rsid w:val="0075507C"/>
    <w:rsid w:val="0076262F"/>
    <w:rsid w:val="00780BC1"/>
    <w:rsid w:val="00792E60"/>
    <w:rsid w:val="007A0A80"/>
    <w:rsid w:val="007A3CCA"/>
    <w:rsid w:val="007B5055"/>
    <w:rsid w:val="007B6C6D"/>
    <w:rsid w:val="007E07B4"/>
    <w:rsid w:val="007E10A9"/>
    <w:rsid w:val="008035C2"/>
    <w:rsid w:val="00810815"/>
    <w:rsid w:val="00817E73"/>
    <w:rsid w:val="008540C8"/>
    <w:rsid w:val="008720E3"/>
    <w:rsid w:val="00877AA9"/>
    <w:rsid w:val="008910E9"/>
    <w:rsid w:val="008A202F"/>
    <w:rsid w:val="008B4D96"/>
    <w:rsid w:val="008B6C13"/>
    <w:rsid w:val="008B77C4"/>
    <w:rsid w:val="008C1B85"/>
    <w:rsid w:val="008C7287"/>
    <w:rsid w:val="008D535A"/>
    <w:rsid w:val="008E75BD"/>
    <w:rsid w:val="008F606C"/>
    <w:rsid w:val="008F6BF6"/>
    <w:rsid w:val="0090462A"/>
    <w:rsid w:val="00907291"/>
    <w:rsid w:val="00911E6F"/>
    <w:rsid w:val="00920B48"/>
    <w:rsid w:val="00926DEC"/>
    <w:rsid w:val="009549AD"/>
    <w:rsid w:val="0095715A"/>
    <w:rsid w:val="009649DA"/>
    <w:rsid w:val="009667BE"/>
    <w:rsid w:val="00966836"/>
    <w:rsid w:val="00970314"/>
    <w:rsid w:val="00972D84"/>
    <w:rsid w:val="0098048D"/>
    <w:rsid w:val="00996111"/>
    <w:rsid w:val="009B4A53"/>
    <w:rsid w:val="009B772F"/>
    <w:rsid w:val="009B77F0"/>
    <w:rsid w:val="009C1649"/>
    <w:rsid w:val="009C589C"/>
    <w:rsid w:val="009D026D"/>
    <w:rsid w:val="009D4990"/>
    <w:rsid w:val="009D5461"/>
    <w:rsid w:val="00A16DF3"/>
    <w:rsid w:val="00A50657"/>
    <w:rsid w:val="00A70581"/>
    <w:rsid w:val="00A7316C"/>
    <w:rsid w:val="00A73CA1"/>
    <w:rsid w:val="00A93CA9"/>
    <w:rsid w:val="00AB53FA"/>
    <w:rsid w:val="00AB53FE"/>
    <w:rsid w:val="00AD3B2E"/>
    <w:rsid w:val="00AD61F3"/>
    <w:rsid w:val="00AE37A6"/>
    <w:rsid w:val="00AE3A4B"/>
    <w:rsid w:val="00B2143F"/>
    <w:rsid w:val="00B2719B"/>
    <w:rsid w:val="00B30F1F"/>
    <w:rsid w:val="00B519E8"/>
    <w:rsid w:val="00B52F7B"/>
    <w:rsid w:val="00B56162"/>
    <w:rsid w:val="00B56D10"/>
    <w:rsid w:val="00B64224"/>
    <w:rsid w:val="00B70849"/>
    <w:rsid w:val="00B73554"/>
    <w:rsid w:val="00B81EE0"/>
    <w:rsid w:val="00B8357E"/>
    <w:rsid w:val="00B94124"/>
    <w:rsid w:val="00BA1681"/>
    <w:rsid w:val="00BA6C80"/>
    <w:rsid w:val="00BA7222"/>
    <w:rsid w:val="00BD29DF"/>
    <w:rsid w:val="00BE1F38"/>
    <w:rsid w:val="00BF34C8"/>
    <w:rsid w:val="00BF3841"/>
    <w:rsid w:val="00BF5EC5"/>
    <w:rsid w:val="00C037BB"/>
    <w:rsid w:val="00C100DC"/>
    <w:rsid w:val="00C14F7E"/>
    <w:rsid w:val="00C22029"/>
    <w:rsid w:val="00C25284"/>
    <w:rsid w:val="00C34E6B"/>
    <w:rsid w:val="00C51198"/>
    <w:rsid w:val="00C54584"/>
    <w:rsid w:val="00C64809"/>
    <w:rsid w:val="00C80968"/>
    <w:rsid w:val="00C843BA"/>
    <w:rsid w:val="00C9385B"/>
    <w:rsid w:val="00CB37BA"/>
    <w:rsid w:val="00CE4364"/>
    <w:rsid w:val="00D046F9"/>
    <w:rsid w:val="00D05EC5"/>
    <w:rsid w:val="00D07CC9"/>
    <w:rsid w:val="00D15072"/>
    <w:rsid w:val="00D3041A"/>
    <w:rsid w:val="00D42936"/>
    <w:rsid w:val="00D514CF"/>
    <w:rsid w:val="00D63DEE"/>
    <w:rsid w:val="00D75E36"/>
    <w:rsid w:val="00D95EAE"/>
    <w:rsid w:val="00DA2C2A"/>
    <w:rsid w:val="00DA4282"/>
    <w:rsid w:val="00DA47A5"/>
    <w:rsid w:val="00DB289F"/>
    <w:rsid w:val="00DB4DE5"/>
    <w:rsid w:val="00DB6D7A"/>
    <w:rsid w:val="00DB7464"/>
    <w:rsid w:val="00DC4FD1"/>
    <w:rsid w:val="00DD6689"/>
    <w:rsid w:val="00DE00F1"/>
    <w:rsid w:val="00DF23F3"/>
    <w:rsid w:val="00E0233B"/>
    <w:rsid w:val="00E0486F"/>
    <w:rsid w:val="00E06507"/>
    <w:rsid w:val="00E1729A"/>
    <w:rsid w:val="00E33647"/>
    <w:rsid w:val="00E3490D"/>
    <w:rsid w:val="00E4283A"/>
    <w:rsid w:val="00E47E83"/>
    <w:rsid w:val="00E57599"/>
    <w:rsid w:val="00E67E9E"/>
    <w:rsid w:val="00E71D51"/>
    <w:rsid w:val="00E730E3"/>
    <w:rsid w:val="00E81AD7"/>
    <w:rsid w:val="00E82A8F"/>
    <w:rsid w:val="00E8738C"/>
    <w:rsid w:val="00E90F29"/>
    <w:rsid w:val="00E960AF"/>
    <w:rsid w:val="00E97684"/>
    <w:rsid w:val="00EB1B29"/>
    <w:rsid w:val="00EC15E3"/>
    <w:rsid w:val="00ED3717"/>
    <w:rsid w:val="00ED49E0"/>
    <w:rsid w:val="00EE78CB"/>
    <w:rsid w:val="00EE7E67"/>
    <w:rsid w:val="00EF38EA"/>
    <w:rsid w:val="00F11BD6"/>
    <w:rsid w:val="00F5495D"/>
    <w:rsid w:val="00F66CBA"/>
    <w:rsid w:val="00F72502"/>
    <w:rsid w:val="00FA2C04"/>
    <w:rsid w:val="00FA363B"/>
    <w:rsid w:val="00FB6FAA"/>
    <w:rsid w:val="00FC0B74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5E6E"/>
  <w15:docId w15:val="{43A3B134-001B-4811-80BF-BF242E7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05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203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2030"/>
    <w:rPr>
      <w:color w:val="0000FF"/>
      <w:u w:val="single"/>
    </w:rPr>
  </w:style>
  <w:style w:type="table" w:styleId="TableGrid">
    <w:name w:val="Table Grid"/>
    <w:basedOn w:val="TableNormal"/>
    <w:uiPriority w:val="59"/>
    <w:rsid w:val="0035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07"/>
  </w:style>
  <w:style w:type="paragraph" w:styleId="Footer">
    <w:name w:val="footer"/>
    <w:basedOn w:val="Normal"/>
    <w:link w:val="FooterChar"/>
    <w:uiPriority w:val="99"/>
    <w:unhideWhenUsed/>
    <w:rsid w:val="0010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07"/>
  </w:style>
  <w:style w:type="character" w:styleId="PlaceholderText">
    <w:name w:val="Placeholder Text"/>
    <w:basedOn w:val="DefaultParagraphFont"/>
    <w:uiPriority w:val="99"/>
    <w:semiHidden/>
    <w:rsid w:val="00445D2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445D2D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0A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6B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71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1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25D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36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6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2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17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TI_ServiceDesk@delawar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i_compliance@delawar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ci_compliance@delaware.gov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cisecuritystandards.org/assessors_and_solutions/vpa_agreement?return=%2Fassessors_and_solutions%2Fpayment_applications" TargetMode="External"/><Relationship Id="rId2" Type="http://schemas.openxmlformats.org/officeDocument/2006/relationships/hyperlink" Target="https://www.nacha.org/rules/supplementing-data-security-requirements" TargetMode="External"/><Relationship Id="rId1" Type="http://schemas.openxmlformats.org/officeDocument/2006/relationships/hyperlink" Target="https://www.pcisecuritystandards.org/pci_security/maintaining_payment_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1BC78E686324DBB703B8A1A6A77CF" ma:contentTypeVersion="6" ma:contentTypeDescription="Create a new document." ma:contentTypeScope="" ma:versionID="7116748877257e8e1e771e854c8619d0">
  <xsd:schema xmlns:xsd="http://www.w3.org/2001/XMLSchema" xmlns:xs="http://www.w3.org/2001/XMLSchema" xmlns:p="http://schemas.microsoft.com/office/2006/metadata/properties" xmlns:ns3="9cd83ded-c268-4873-bcc5-817ea0c2f922" targetNamespace="http://schemas.microsoft.com/office/2006/metadata/properties" ma:root="true" ma:fieldsID="ed8c372cdcaec032d3a6f5be519e5df0" ns3:_="">
    <xsd:import namespace="9cd83ded-c268-4873-bcc5-817ea0c2f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3ded-c268-4873-bcc5-817ea0c2f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12670-1408-41AF-8AF5-0E2A4DEF1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83ded-c268-4873-bcc5-817ea0c2f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3ACE1-EA45-46FC-9A57-3A6D3BDFD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3104C-1C00-44FD-A2F0-9DAEF9457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D0D27-3E6A-43FE-B7E7-F61198206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 Edward</dc:creator>
  <cp:lastModifiedBy>Kanefsky, Carl (OST)</cp:lastModifiedBy>
  <cp:revision>2</cp:revision>
  <dcterms:created xsi:type="dcterms:W3CDTF">2022-05-04T12:13:00Z</dcterms:created>
  <dcterms:modified xsi:type="dcterms:W3CDTF">2022-05-04T12:13:00Z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0x0101008941BC78E686324DBB703B8A1A6A77CF</vt:lpwstr>
  </property>
</Properties>
</file>